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68E" w14:textId="1A330212" w:rsidR="00B255D4" w:rsidRPr="000F09BD" w:rsidRDefault="003927F9" w:rsidP="002B11D9">
      <w:pPr>
        <w:pStyle w:val="GBBetreff"/>
        <w:spacing w:before="240"/>
        <w:ind w:left="851" w:right="804"/>
        <w:jc w:val="center"/>
        <w:rPr>
          <w:rFonts w:ascii="Verdana" w:hAnsi="Verdana"/>
          <w:sz w:val="20"/>
          <w:szCs w:val="20"/>
        </w:rPr>
      </w:pPr>
      <w:r w:rsidRPr="000F09BD">
        <w:rPr>
          <w:rFonts w:ascii="Verdana" w:hAnsi="Verdana"/>
          <w:sz w:val="20"/>
          <w:szCs w:val="20"/>
        </w:rPr>
        <w:t>Information für Beschäftigte zur internen Meldestelle nach dem Hinweisgeberschutzgesetz</w:t>
      </w:r>
    </w:p>
    <w:p w14:paraId="03E1F76C" w14:textId="77777777" w:rsidR="00BC26BC" w:rsidRPr="000F09BD" w:rsidRDefault="00BC26BC" w:rsidP="00AA555B">
      <w:pPr>
        <w:pStyle w:val="GBAnrede"/>
        <w:spacing w:after="240"/>
        <w:rPr>
          <w:rFonts w:ascii="Verdana" w:hAnsi="Verdana"/>
          <w:sz w:val="20"/>
          <w:szCs w:val="20"/>
        </w:rPr>
      </w:pPr>
    </w:p>
    <w:p w14:paraId="22F8790F" w14:textId="143D047D" w:rsidR="00DD10B8" w:rsidRPr="000F09BD" w:rsidRDefault="003927F9" w:rsidP="00AA555B">
      <w:pPr>
        <w:pStyle w:val="GBAnrede"/>
        <w:spacing w:after="240"/>
        <w:rPr>
          <w:rFonts w:ascii="Verdana" w:hAnsi="Verdana"/>
          <w:sz w:val="20"/>
          <w:szCs w:val="20"/>
        </w:rPr>
      </w:pPr>
      <w:r w:rsidRPr="000F09BD">
        <w:rPr>
          <w:rFonts w:ascii="Verdana" w:hAnsi="Verdana"/>
          <w:sz w:val="20"/>
          <w:szCs w:val="20"/>
        </w:rPr>
        <w:t>Liebe Mitarbeitende</w:t>
      </w:r>
      <w:r w:rsidR="009B1DB1" w:rsidRPr="000F09BD">
        <w:rPr>
          <w:rFonts w:ascii="Verdana" w:hAnsi="Verdana"/>
          <w:sz w:val="20"/>
          <w:szCs w:val="20"/>
        </w:rPr>
        <w:t xml:space="preserve">, </w:t>
      </w:r>
    </w:p>
    <w:p w14:paraId="729BFDAB" w14:textId="329A23B7" w:rsidR="00D62A9A" w:rsidRPr="000F09BD" w:rsidRDefault="003927F9" w:rsidP="00D62A9A">
      <w:pPr>
        <w:pStyle w:val="GBFliesstext"/>
        <w:spacing w:after="240"/>
        <w:rPr>
          <w:rFonts w:ascii="Verdana" w:hAnsi="Verdana"/>
          <w:sz w:val="20"/>
          <w:szCs w:val="20"/>
        </w:rPr>
      </w:pPr>
      <w:r w:rsidRPr="000F09BD">
        <w:rPr>
          <w:rFonts w:ascii="Verdana" w:hAnsi="Verdana"/>
          <w:sz w:val="20"/>
          <w:szCs w:val="20"/>
        </w:rPr>
        <w:t xml:space="preserve">im Juli dieses Jahres ist das sogenannte </w:t>
      </w:r>
      <w:r w:rsidR="00D62A9A" w:rsidRPr="000F09BD">
        <w:rPr>
          <w:rFonts w:ascii="Verdana" w:hAnsi="Verdana"/>
          <w:sz w:val="20"/>
          <w:szCs w:val="20"/>
        </w:rPr>
        <w:t xml:space="preserve">Hinweisgeberschutzgesetz erlassen worden. </w:t>
      </w:r>
      <w:r w:rsidRPr="000F09BD">
        <w:rPr>
          <w:rFonts w:ascii="Verdana" w:hAnsi="Verdana"/>
          <w:sz w:val="20"/>
          <w:szCs w:val="20"/>
        </w:rPr>
        <w:t>Dieses</w:t>
      </w:r>
      <w:r w:rsidR="00D62A9A" w:rsidRPr="000F09BD">
        <w:rPr>
          <w:rFonts w:ascii="Verdana" w:hAnsi="Verdana"/>
          <w:sz w:val="20"/>
          <w:szCs w:val="20"/>
        </w:rPr>
        <w:t xml:space="preserve"> Gesetz regelt grundlegend den Schutz von hinweisgebenden Personen und verpflichtet Arbeitgeber mit mehr als 50 Beschäftigten, für die Hinweisgeber eine Meldestelle einzurichten, die diese Hinweise entgegennimmt.</w:t>
      </w:r>
      <w:r w:rsidR="00462481" w:rsidRPr="000F09BD">
        <w:rPr>
          <w:rFonts w:ascii="Verdana" w:hAnsi="Verdana"/>
          <w:sz w:val="20"/>
          <w:szCs w:val="20"/>
        </w:rPr>
        <w:t xml:space="preserve"> </w:t>
      </w:r>
      <w:r w:rsidRPr="000F09BD">
        <w:rPr>
          <w:rFonts w:ascii="Verdana" w:hAnsi="Verdana"/>
          <w:sz w:val="20"/>
          <w:szCs w:val="20"/>
        </w:rPr>
        <w:t xml:space="preserve">Doch was genau bedeutet das für Sie als Mitarbeitende? </w:t>
      </w:r>
      <w:r w:rsidR="00FA23EF" w:rsidRPr="000F09BD">
        <w:rPr>
          <w:rFonts w:ascii="Verdana" w:hAnsi="Verdana"/>
          <w:sz w:val="20"/>
          <w:szCs w:val="20"/>
        </w:rPr>
        <w:t>Diese Frage</w:t>
      </w:r>
      <w:r w:rsidRPr="000F09BD">
        <w:rPr>
          <w:rFonts w:ascii="Verdana" w:hAnsi="Verdana"/>
          <w:sz w:val="20"/>
          <w:szCs w:val="20"/>
        </w:rPr>
        <w:t xml:space="preserve"> soll mit diesem Informationsschreiben geklärt werden.</w:t>
      </w:r>
    </w:p>
    <w:p w14:paraId="76B20FCE" w14:textId="60BB2800" w:rsidR="003927F9" w:rsidRPr="000F09BD" w:rsidRDefault="003927F9" w:rsidP="00D62A9A">
      <w:pPr>
        <w:pStyle w:val="GBFliesstext"/>
        <w:spacing w:after="240"/>
        <w:rPr>
          <w:rFonts w:ascii="Verdana" w:hAnsi="Verdana"/>
          <w:sz w:val="20"/>
          <w:szCs w:val="20"/>
        </w:rPr>
      </w:pPr>
      <w:r w:rsidRPr="000F09BD">
        <w:rPr>
          <w:rFonts w:ascii="Verdana" w:hAnsi="Verdana"/>
          <w:sz w:val="20"/>
          <w:szCs w:val="20"/>
        </w:rPr>
        <w:t>Sie als Mitarbeitende</w:t>
      </w:r>
      <w:r w:rsidR="00FA23EF" w:rsidRPr="000F09BD">
        <w:rPr>
          <w:rFonts w:ascii="Verdana" w:hAnsi="Verdana"/>
          <w:sz w:val="20"/>
          <w:szCs w:val="20"/>
        </w:rPr>
        <w:t xml:space="preserve"> der EKD oder einer ihre</w:t>
      </w:r>
      <w:r w:rsidR="001D707C" w:rsidRPr="000F09BD">
        <w:rPr>
          <w:rFonts w:ascii="Verdana" w:hAnsi="Verdana"/>
          <w:sz w:val="20"/>
          <w:szCs w:val="20"/>
        </w:rPr>
        <w:t>r</w:t>
      </w:r>
      <w:r w:rsidR="00FA23EF" w:rsidRPr="000F09BD">
        <w:rPr>
          <w:rFonts w:ascii="Verdana" w:hAnsi="Verdana"/>
          <w:sz w:val="20"/>
          <w:szCs w:val="20"/>
        </w:rPr>
        <w:t xml:space="preserve"> Gliedkirchen und deren Einrichtungen</w:t>
      </w:r>
      <w:r w:rsidRPr="000F09BD">
        <w:rPr>
          <w:rFonts w:ascii="Verdana" w:hAnsi="Verdana"/>
          <w:sz w:val="20"/>
          <w:szCs w:val="20"/>
        </w:rPr>
        <w:t xml:space="preserve"> können über den internen Meldekanal der EKD</w:t>
      </w:r>
      <w:r w:rsidR="00FA23EF" w:rsidRPr="000F09BD">
        <w:rPr>
          <w:rFonts w:ascii="Verdana" w:hAnsi="Verdana"/>
          <w:sz w:val="20"/>
          <w:szCs w:val="20"/>
        </w:rPr>
        <w:t xml:space="preserve"> </w:t>
      </w:r>
      <w:r w:rsidRPr="000F09BD">
        <w:rPr>
          <w:rFonts w:ascii="Verdana" w:hAnsi="Verdana"/>
          <w:sz w:val="20"/>
          <w:szCs w:val="20"/>
        </w:rPr>
        <w:t xml:space="preserve">Meldungen nach dem Hinweisgeberschutzgesetz abgeben. </w:t>
      </w:r>
    </w:p>
    <w:p w14:paraId="686D571E" w14:textId="516850EB" w:rsidR="003927F9" w:rsidRPr="000F09BD" w:rsidRDefault="00A16238" w:rsidP="00D62A9A">
      <w:pPr>
        <w:pStyle w:val="GBFliesstext"/>
        <w:spacing w:after="240"/>
        <w:rPr>
          <w:rFonts w:ascii="Verdana" w:hAnsi="Verdana"/>
          <w:sz w:val="20"/>
          <w:szCs w:val="20"/>
        </w:rPr>
      </w:pPr>
      <w:r w:rsidRPr="000F09BD">
        <w:rPr>
          <w:rFonts w:ascii="Verdana" w:hAnsi="Verdana"/>
          <w:sz w:val="20"/>
          <w:szCs w:val="20"/>
        </w:rPr>
        <w:t xml:space="preserve">Nachfolgend finden Sie knappe Antworten auf die am häufigsten gestellten Fragen. </w:t>
      </w:r>
    </w:p>
    <w:p w14:paraId="29B01ED4" w14:textId="7A91981D" w:rsidR="00FA23EF" w:rsidRPr="000F09BD" w:rsidRDefault="00FA23EF" w:rsidP="000A647F">
      <w:pPr>
        <w:pStyle w:val="GBFliesstext"/>
        <w:numPr>
          <w:ilvl w:val="0"/>
          <w:numId w:val="5"/>
        </w:numPr>
        <w:spacing w:after="240"/>
        <w:rPr>
          <w:rFonts w:ascii="Verdana" w:hAnsi="Verdana"/>
          <w:b/>
          <w:bCs/>
          <w:sz w:val="20"/>
          <w:szCs w:val="20"/>
        </w:rPr>
      </w:pPr>
      <w:r w:rsidRPr="000F09BD">
        <w:rPr>
          <w:rFonts w:ascii="Verdana" w:hAnsi="Verdana"/>
          <w:b/>
          <w:bCs/>
          <w:sz w:val="20"/>
          <w:szCs w:val="20"/>
        </w:rPr>
        <w:t>Was ist das Hinweisgeberschutzgesetz und wer wird davon geschützt?</w:t>
      </w:r>
    </w:p>
    <w:p w14:paraId="7233972B" w14:textId="1DAB56FF" w:rsidR="00FA23EF" w:rsidRPr="000F09BD" w:rsidRDefault="00FA23EF" w:rsidP="00FA23EF">
      <w:pPr>
        <w:pStyle w:val="GBFliesstext"/>
        <w:spacing w:after="240"/>
        <w:rPr>
          <w:rFonts w:ascii="Verdana" w:hAnsi="Verdana"/>
          <w:bCs/>
          <w:sz w:val="20"/>
          <w:szCs w:val="20"/>
        </w:rPr>
      </w:pPr>
      <w:r w:rsidRPr="000F09BD">
        <w:rPr>
          <w:rFonts w:ascii="Verdana" w:hAnsi="Verdana"/>
          <w:bCs/>
          <w:sz w:val="20"/>
          <w:szCs w:val="20"/>
        </w:rPr>
        <w:t>Mit dem Hinweisgeberschutzgesetz sollen hinweisgebende Personen („Whistleblower“)</w:t>
      </w:r>
      <w:r w:rsidR="003E147D" w:rsidRPr="000F09BD">
        <w:rPr>
          <w:rFonts w:ascii="Verdana" w:hAnsi="Verdana"/>
          <w:bCs/>
          <w:sz w:val="20"/>
          <w:szCs w:val="20"/>
        </w:rPr>
        <w:t xml:space="preserve">, die im Zusammenhang mit ihrer beruflichen Tätigkeit oder im Vorfeld einer beruflichen Tätigkeit Informationen über Verstöße melden, </w:t>
      </w:r>
      <w:r w:rsidRPr="000F09BD">
        <w:rPr>
          <w:rFonts w:ascii="Verdana" w:hAnsi="Verdana"/>
          <w:bCs/>
          <w:sz w:val="20"/>
          <w:szCs w:val="20"/>
        </w:rPr>
        <w:t>zukünftig besser vor etwaigen arbeitsrechtlichen oder sonstigen Nachteilen geschützt werden. Das Hinweisgeberschutzgesetz verpflichtet Beschäftigungsgeber mit in der Regel mindestens 50 Mitarbeitenden zur Einrichtung einer internen Meldestelle.</w:t>
      </w:r>
    </w:p>
    <w:p w14:paraId="0341CD53" w14:textId="1F5B2252" w:rsidR="00FA23EF" w:rsidRPr="000F09BD" w:rsidRDefault="00FA23EF" w:rsidP="00FA23EF">
      <w:pPr>
        <w:pStyle w:val="GBFliesstext"/>
        <w:spacing w:after="240"/>
        <w:rPr>
          <w:rFonts w:ascii="Verdana" w:hAnsi="Verdana"/>
          <w:bCs/>
          <w:sz w:val="20"/>
          <w:szCs w:val="20"/>
        </w:rPr>
      </w:pPr>
      <w:r w:rsidRPr="000F09BD">
        <w:rPr>
          <w:rFonts w:ascii="Verdana" w:hAnsi="Verdana"/>
          <w:bCs/>
          <w:sz w:val="20"/>
          <w:szCs w:val="20"/>
        </w:rPr>
        <w:t xml:space="preserve">Hinweisgebende Personen, die einen Hinweis nach dem Hinweisgeberschutzgesetz abgegeben haben und die Grund zur Annahme hatten, dass die gemeldete Information der Wahrheit entspricht, können nicht für die Beschaffung von oder den Zugriff auf die notwendigen Informationen rechtlich verantwortlich gemacht werden, sofern die Beschaffung oder der Zugriff als solcher nicht eine eigenständige Straftat darstellt. Darüber hinaus ist jede Form von Repressalie gegen diese Person verboten. Sofern die hinweisgebende Person eine Benachteiligung erlebt, so wird vermutet, dass die Benachteiligung eine Repressalie für die Meldung ist. Wenn dies der Fall ist, ist der Verursacher dazu verpflichtet, den entstandenen Schaden zu ersetzen. </w:t>
      </w:r>
    </w:p>
    <w:p w14:paraId="2F125B52" w14:textId="7F598E2C" w:rsidR="000A647F" w:rsidRPr="000F09BD" w:rsidRDefault="000A647F" w:rsidP="000A647F">
      <w:pPr>
        <w:pStyle w:val="GBFliesstext"/>
        <w:numPr>
          <w:ilvl w:val="0"/>
          <w:numId w:val="5"/>
        </w:numPr>
        <w:spacing w:after="240"/>
        <w:rPr>
          <w:rFonts w:ascii="Verdana" w:hAnsi="Verdana"/>
          <w:b/>
          <w:bCs/>
          <w:sz w:val="20"/>
          <w:szCs w:val="20"/>
        </w:rPr>
      </w:pPr>
      <w:r w:rsidRPr="000F09BD">
        <w:rPr>
          <w:rFonts w:ascii="Verdana" w:hAnsi="Verdana"/>
          <w:b/>
          <w:bCs/>
          <w:sz w:val="20"/>
          <w:szCs w:val="20"/>
        </w:rPr>
        <w:t>Wer kann Meldungen abgeben?</w:t>
      </w:r>
    </w:p>
    <w:p w14:paraId="298DE53B" w14:textId="795279D7" w:rsidR="000A647F" w:rsidRPr="000F09BD" w:rsidRDefault="000A647F" w:rsidP="002B11D9">
      <w:pPr>
        <w:pStyle w:val="GBFliesstext"/>
        <w:spacing w:after="240"/>
        <w:rPr>
          <w:rFonts w:ascii="Verdana" w:hAnsi="Verdana"/>
          <w:sz w:val="20"/>
          <w:szCs w:val="20"/>
        </w:rPr>
      </w:pPr>
      <w:r w:rsidRPr="000F09BD">
        <w:rPr>
          <w:rFonts w:ascii="Verdana" w:hAnsi="Verdana"/>
          <w:sz w:val="20"/>
          <w:szCs w:val="20"/>
        </w:rPr>
        <w:t xml:space="preserve">Der persönliche Anwendungsbereich des Hinweisgeberschutzgesetzes ist weit gefasst und umfasst alle Personen, die im Zusammenhang mit ihrer beruflichen Tätigkeit Informationen über Verstöße erlangt haben. Dies können neben Arbeitnehmer*innen </w:t>
      </w:r>
      <w:r w:rsidR="003E147D" w:rsidRPr="000F09BD">
        <w:rPr>
          <w:rFonts w:ascii="Verdana" w:hAnsi="Verdana"/>
          <w:sz w:val="20"/>
          <w:szCs w:val="20"/>
        </w:rPr>
        <w:t xml:space="preserve">auch </w:t>
      </w:r>
      <w:r w:rsidRPr="000F09BD">
        <w:rPr>
          <w:rFonts w:ascii="Verdana" w:hAnsi="Verdana"/>
          <w:sz w:val="20"/>
          <w:szCs w:val="20"/>
        </w:rPr>
        <w:t>Beamt*innen sein.</w:t>
      </w:r>
    </w:p>
    <w:p w14:paraId="48D1B119" w14:textId="31E3238A" w:rsidR="00A16238" w:rsidRPr="000F09BD" w:rsidRDefault="00A16238" w:rsidP="002B11D9">
      <w:pPr>
        <w:pStyle w:val="GBFliesstext"/>
        <w:numPr>
          <w:ilvl w:val="0"/>
          <w:numId w:val="5"/>
        </w:numPr>
        <w:spacing w:after="240"/>
        <w:rPr>
          <w:rFonts w:ascii="Verdana" w:hAnsi="Verdana"/>
          <w:b/>
          <w:bCs/>
          <w:sz w:val="20"/>
          <w:szCs w:val="20"/>
        </w:rPr>
      </w:pPr>
      <w:r w:rsidRPr="000F09BD">
        <w:rPr>
          <w:rFonts w:ascii="Verdana" w:hAnsi="Verdana"/>
          <w:b/>
          <w:bCs/>
          <w:sz w:val="20"/>
          <w:szCs w:val="20"/>
        </w:rPr>
        <w:t xml:space="preserve">Wo können Hinweisgeber*innen Meldungen </w:t>
      </w:r>
      <w:r w:rsidR="000A647F" w:rsidRPr="000F09BD">
        <w:rPr>
          <w:rFonts w:ascii="Verdana" w:hAnsi="Verdana"/>
          <w:b/>
          <w:bCs/>
          <w:sz w:val="20"/>
          <w:szCs w:val="20"/>
        </w:rPr>
        <w:t>abgeben</w:t>
      </w:r>
      <w:r w:rsidRPr="000F09BD">
        <w:rPr>
          <w:rFonts w:ascii="Verdana" w:hAnsi="Verdana"/>
          <w:b/>
          <w:bCs/>
          <w:sz w:val="20"/>
          <w:szCs w:val="20"/>
        </w:rPr>
        <w:t>?</w:t>
      </w:r>
    </w:p>
    <w:p w14:paraId="2D6085DB" w14:textId="217BE1DF" w:rsidR="00A16238" w:rsidRPr="000F09BD" w:rsidRDefault="00A16238" w:rsidP="00A16238">
      <w:pPr>
        <w:pStyle w:val="GBFliesstext"/>
        <w:rPr>
          <w:rFonts w:ascii="Verdana" w:hAnsi="Verdana"/>
          <w:sz w:val="20"/>
          <w:szCs w:val="20"/>
        </w:rPr>
      </w:pPr>
      <w:r w:rsidRPr="000F09BD">
        <w:rPr>
          <w:rFonts w:ascii="Verdana" w:hAnsi="Verdana"/>
          <w:sz w:val="20"/>
          <w:szCs w:val="20"/>
        </w:rPr>
        <w:t>Im Wesentlichen gibt es zwei verschiedene Arten von Meldestellen: die interne und die externe Meldestelle.</w:t>
      </w:r>
      <w:r w:rsidR="007C6762" w:rsidRPr="000F09BD">
        <w:rPr>
          <w:rFonts w:ascii="Verdana" w:hAnsi="Verdana"/>
          <w:sz w:val="20"/>
          <w:szCs w:val="20"/>
        </w:rPr>
        <w:t xml:space="preserve"> </w:t>
      </w:r>
      <w:r w:rsidRPr="000F09BD">
        <w:rPr>
          <w:rFonts w:ascii="Verdana" w:hAnsi="Verdana"/>
          <w:sz w:val="20"/>
          <w:szCs w:val="20"/>
        </w:rPr>
        <w:t>Die interne</w:t>
      </w:r>
      <w:r w:rsidR="007C6762" w:rsidRPr="000F09BD">
        <w:rPr>
          <w:rFonts w:ascii="Verdana" w:hAnsi="Verdana"/>
          <w:sz w:val="20"/>
          <w:szCs w:val="20"/>
        </w:rPr>
        <w:t>n</w:t>
      </w:r>
      <w:r w:rsidRPr="000F09BD">
        <w:rPr>
          <w:rFonts w:ascii="Verdana" w:hAnsi="Verdana"/>
          <w:sz w:val="20"/>
          <w:szCs w:val="20"/>
        </w:rPr>
        <w:t xml:space="preserve"> Meldestelle</w:t>
      </w:r>
      <w:r w:rsidR="007C6762" w:rsidRPr="000F09BD">
        <w:rPr>
          <w:rFonts w:ascii="Verdana" w:hAnsi="Verdana"/>
          <w:sz w:val="20"/>
          <w:szCs w:val="20"/>
        </w:rPr>
        <w:t>n</w:t>
      </w:r>
      <w:r w:rsidRPr="000F09BD">
        <w:rPr>
          <w:rFonts w:ascii="Verdana" w:hAnsi="Verdana"/>
          <w:sz w:val="20"/>
          <w:szCs w:val="20"/>
        </w:rPr>
        <w:t xml:space="preserve"> </w:t>
      </w:r>
      <w:r w:rsidR="00A92359" w:rsidRPr="000F09BD">
        <w:rPr>
          <w:rFonts w:ascii="Verdana" w:hAnsi="Verdana"/>
          <w:sz w:val="20"/>
          <w:szCs w:val="20"/>
        </w:rPr>
        <w:t xml:space="preserve">sind bei den Unternehmen selbst </w:t>
      </w:r>
      <w:r w:rsidR="00A92359" w:rsidRPr="000F09BD">
        <w:rPr>
          <w:rFonts w:ascii="Verdana" w:hAnsi="Verdana"/>
          <w:sz w:val="20"/>
          <w:szCs w:val="20"/>
        </w:rPr>
        <w:lastRenderedPageBreak/>
        <w:t xml:space="preserve">eingerichtet. </w:t>
      </w:r>
      <w:r w:rsidR="00E95C1A" w:rsidRPr="000F09BD">
        <w:rPr>
          <w:rFonts w:ascii="Verdana" w:hAnsi="Verdana"/>
          <w:sz w:val="20"/>
          <w:szCs w:val="20"/>
        </w:rPr>
        <w:t xml:space="preserve">Die EKD hat </w:t>
      </w:r>
      <w:r w:rsidR="008B1E0B" w:rsidRPr="000F09BD">
        <w:rPr>
          <w:rFonts w:ascii="Verdana" w:hAnsi="Verdana"/>
          <w:sz w:val="20"/>
          <w:szCs w:val="20"/>
        </w:rPr>
        <w:t>eine Meldestelle geschaffen, der sich die Gliedkirchen und gliedkirchlichen Einrichtungen anschließen können. Diese Meldestelle ist angegliedert an das Kirchenamt der EKD und steht allen vom persönlichen Anwendungsbereich des Hinweisgeberschutzgesetz</w:t>
      </w:r>
      <w:r w:rsidR="00DB1AEC" w:rsidRPr="000F09BD">
        <w:rPr>
          <w:rFonts w:ascii="Verdana" w:hAnsi="Verdana"/>
          <w:sz w:val="20"/>
          <w:szCs w:val="20"/>
        </w:rPr>
        <w:t>es</w:t>
      </w:r>
      <w:r w:rsidR="008B1E0B" w:rsidRPr="000F09BD">
        <w:rPr>
          <w:rFonts w:ascii="Verdana" w:hAnsi="Verdana"/>
          <w:sz w:val="20"/>
          <w:szCs w:val="20"/>
        </w:rPr>
        <w:t xml:space="preserve"> erfassten Personen der angeschlossenen Gliedkirchen zur Abgabe von Hinweisen offen.</w:t>
      </w:r>
    </w:p>
    <w:p w14:paraId="5F99FCCA" w14:textId="441B2B84" w:rsidR="00A16238" w:rsidRPr="000F09BD" w:rsidRDefault="00A16238" w:rsidP="002B11D9">
      <w:pPr>
        <w:pStyle w:val="GBFliesstext"/>
        <w:spacing w:after="240"/>
        <w:rPr>
          <w:rFonts w:ascii="Verdana" w:hAnsi="Verdana"/>
          <w:sz w:val="20"/>
          <w:szCs w:val="20"/>
        </w:rPr>
      </w:pPr>
      <w:r w:rsidRPr="000F09BD">
        <w:rPr>
          <w:rFonts w:ascii="Verdana" w:hAnsi="Verdana"/>
          <w:sz w:val="20"/>
          <w:szCs w:val="20"/>
        </w:rPr>
        <w:t>Außerdem gibt es externe Meldestellen. Diese werden vom Staat eingerichtet. Die staatliche Hauptmeldestelle ist beim Bundesamt der Justiz angesiedelt.</w:t>
      </w:r>
      <w:r w:rsidR="007C6762" w:rsidRPr="000F09BD">
        <w:rPr>
          <w:rFonts w:ascii="Verdana" w:hAnsi="Verdana"/>
          <w:sz w:val="20"/>
          <w:szCs w:val="20"/>
        </w:rPr>
        <w:t xml:space="preserve"> Daneben</w:t>
      </w:r>
      <w:r w:rsidRPr="000F09BD">
        <w:rPr>
          <w:rFonts w:ascii="Verdana" w:hAnsi="Verdana"/>
          <w:sz w:val="20"/>
          <w:szCs w:val="20"/>
        </w:rPr>
        <w:t xml:space="preserve"> gibt </w:t>
      </w:r>
      <w:r w:rsidR="0067359E" w:rsidRPr="000F09BD">
        <w:rPr>
          <w:rFonts w:ascii="Verdana" w:hAnsi="Verdana"/>
          <w:sz w:val="20"/>
          <w:szCs w:val="20"/>
        </w:rPr>
        <w:t xml:space="preserve">es </w:t>
      </w:r>
      <w:r w:rsidRPr="000F09BD">
        <w:rPr>
          <w:rFonts w:ascii="Verdana" w:hAnsi="Verdana"/>
          <w:sz w:val="20"/>
          <w:szCs w:val="20"/>
        </w:rPr>
        <w:t xml:space="preserve">noch spezielle externe Meldestellen. Für Verstöße bei Finanzgeschäften </w:t>
      </w:r>
      <w:r w:rsidR="007C6762" w:rsidRPr="000F09BD">
        <w:rPr>
          <w:rFonts w:ascii="Verdana" w:hAnsi="Verdana"/>
          <w:sz w:val="20"/>
          <w:szCs w:val="20"/>
        </w:rPr>
        <w:t>gibt</w:t>
      </w:r>
      <w:r w:rsidRPr="000F09BD">
        <w:rPr>
          <w:rFonts w:ascii="Verdana" w:hAnsi="Verdana"/>
          <w:sz w:val="20"/>
          <w:szCs w:val="20"/>
        </w:rPr>
        <w:t xml:space="preserve"> es die von der BaFin (Bundesanstalt Finanzdienstleistungen) eingerichtete Meldestelle. Zusätzlich </w:t>
      </w:r>
      <w:r w:rsidR="007C6762" w:rsidRPr="000F09BD">
        <w:rPr>
          <w:rFonts w:ascii="Verdana" w:hAnsi="Verdana"/>
          <w:sz w:val="20"/>
          <w:szCs w:val="20"/>
        </w:rPr>
        <w:t>gibt</w:t>
      </w:r>
      <w:r w:rsidRPr="000F09BD">
        <w:rPr>
          <w:rFonts w:ascii="Verdana" w:hAnsi="Verdana"/>
          <w:sz w:val="20"/>
          <w:szCs w:val="20"/>
        </w:rPr>
        <w:t xml:space="preserve"> es eine externe Meldestelle beim Bundeskartellamt, an die Meldungen bei Kartellrechtsverstößen zu machen sind.</w:t>
      </w:r>
    </w:p>
    <w:p w14:paraId="11445857" w14:textId="77777777" w:rsidR="000A647F" w:rsidRPr="000F09BD" w:rsidRDefault="000A647F" w:rsidP="002B11D9">
      <w:pPr>
        <w:pStyle w:val="GBFliesstext"/>
        <w:numPr>
          <w:ilvl w:val="0"/>
          <w:numId w:val="5"/>
        </w:numPr>
        <w:spacing w:after="240"/>
        <w:rPr>
          <w:rFonts w:ascii="Verdana" w:hAnsi="Verdana"/>
          <w:b/>
          <w:bCs/>
          <w:sz w:val="20"/>
          <w:szCs w:val="20"/>
        </w:rPr>
      </w:pPr>
      <w:r w:rsidRPr="000F09BD">
        <w:rPr>
          <w:rFonts w:ascii="Verdana" w:hAnsi="Verdana"/>
          <w:b/>
          <w:bCs/>
          <w:sz w:val="20"/>
          <w:szCs w:val="20"/>
        </w:rPr>
        <w:t>Was ist eine externe Meldestelle?</w:t>
      </w:r>
    </w:p>
    <w:p w14:paraId="7215ACEB" w14:textId="5AEABD67" w:rsidR="000A647F" w:rsidRPr="000F09BD" w:rsidRDefault="000A647F" w:rsidP="000A647F">
      <w:pPr>
        <w:pStyle w:val="GBFliesstext"/>
        <w:rPr>
          <w:rFonts w:ascii="Verdana" w:hAnsi="Verdana"/>
          <w:sz w:val="20"/>
          <w:szCs w:val="20"/>
        </w:rPr>
      </w:pPr>
      <w:r w:rsidRPr="000F09BD">
        <w:rPr>
          <w:rFonts w:ascii="Verdana" w:hAnsi="Verdana"/>
          <w:sz w:val="20"/>
          <w:szCs w:val="20"/>
        </w:rPr>
        <w:t>Eine externe Meldestelle ist eine Behörde, an welche die hinweisgebende Person mündlich oder schriftlich Informationen über Rechtsverstöße mitteilen kann.</w:t>
      </w:r>
    </w:p>
    <w:p w14:paraId="196B0470" w14:textId="794DEC7A" w:rsidR="007C6762" w:rsidRPr="000F09BD" w:rsidRDefault="000A647F" w:rsidP="002B11D9">
      <w:pPr>
        <w:pStyle w:val="GBFliesstext"/>
        <w:spacing w:after="240"/>
        <w:rPr>
          <w:rFonts w:ascii="Verdana" w:hAnsi="Verdana"/>
          <w:sz w:val="20"/>
          <w:szCs w:val="20"/>
        </w:rPr>
      </w:pPr>
      <w:r w:rsidRPr="000F09BD">
        <w:rPr>
          <w:rFonts w:ascii="Verdana" w:hAnsi="Verdana"/>
          <w:sz w:val="20"/>
          <w:szCs w:val="20"/>
        </w:rPr>
        <w:t xml:space="preserve">Die hinweisgebende Person darf wählen, ob sie sich zunächst intern an das Unternehmen und/oder extern an die zuständige Behörde wendet. </w:t>
      </w:r>
      <w:r w:rsidR="007C6762" w:rsidRPr="000F09BD">
        <w:rPr>
          <w:rFonts w:ascii="Verdana" w:hAnsi="Verdana"/>
          <w:sz w:val="20"/>
          <w:szCs w:val="20"/>
        </w:rPr>
        <w:t xml:space="preserve">Der Vorteil an der internen Meldestelle ist, dass es sich bei der Meldestelle um fachkundige Personen handelt, die auch den Beschäftigungsgeber bzw. die Einrichtung und deren Struktur kennen. Dies trägt zu einer schnellen Aufklärung und Abhilfe bei. </w:t>
      </w:r>
    </w:p>
    <w:p w14:paraId="273241F3" w14:textId="36E8BB6D" w:rsidR="003927F9" w:rsidRPr="000F09BD" w:rsidRDefault="00A92359" w:rsidP="002B11D9">
      <w:pPr>
        <w:pStyle w:val="GBFliesstext"/>
        <w:numPr>
          <w:ilvl w:val="0"/>
          <w:numId w:val="5"/>
        </w:numPr>
        <w:spacing w:after="240"/>
        <w:rPr>
          <w:rFonts w:ascii="Verdana" w:hAnsi="Verdana"/>
          <w:b/>
          <w:bCs/>
          <w:sz w:val="20"/>
          <w:szCs w:val="20"/>
        </w:rPr>
      </w:pPr>
      <w:r w:rsidRPr="000F09BD">
        <w:rPr>
          <w:rFonts w:ascii="Verdana" w:hAnsi="Verdana"/>
          <w:b/>
          <w:bCs/>
          <w:sz w:val="20"/>
          <w:szCs w:val="20"/>
        </w:rPr>
        <w:t>Können Hinweisgeber*innen eine anonyme Meldung abgeben?</w:t>
      </w:r>
    </w:p>
    <w:p w14:paraId="3E5E67AD" w14:textId="2A8BBE57" w:rsidR="00A92359" w:rsidRPr="000F09BD" w:rsidRDefault="00A92359" w:rsidP="00A92359">
      <w:pPr>
        <w:pStyle w:val="GBFliesstext"/>
        <w:spacing w:after="240"/>
        <w:rPr>
          <w:rFonts w:ascii="Verdana" w:hAnsi="Verdana"/>
          <w:sz w:val="20"/>
          <w:szCs w:val="20"/>
        </w:rPr>
      </w:pPr>
      <w:r w:rsidRPr="000F09BD">
        <w:rPr>
          <w:rFonts w:ascii="Verdana" w:hAnsi="Verdana"/>
          <w:sz w:val="20"/>
          <w:szCs w:val="20"/>
        </w:rPr>
        <w:t>Ja, bei der internen Meldestelle der EKD wird eine anonyme Meldung möglich sein.</w:t>
      </w:r>
      <w:r w:rsidR="003E147D" w:rsidRPr="000F09BD">
        <w:rPr>
          <w:rFonts w:ascii="Verdana" w:hAnsi="Verdana"/>
          <w:sz w:val="20"/>
          <w:szCs w:val="20"/>
        </w:rPr>
        <w:t xml:space="preserve"> </w:t>
      </w:r>
      <w:r w:rsidR="0065454A" w:rsidRPr="000F09BD">
        <w:rPr>
          <w:rFonts w:ascii="Verdana" w:hAnsi="Verdana"/>
          <w:sz w:val="20"/>
          <w:szCs w:val="20"/>
        </w:rPr>
        <w:t>Alle meldeberechtigten Personen können ihre Meldungen anonym abgeben.</w:t>
      </w:r>
      <w:r w:rsidR="0065454A" w:rsidRPr="000F09BD">
        <w:rPr>
          <w:rFonts w:ascii="Verdana" w:hAnsi="Verdana"/>
          <w:color w:val="FF0000"/>
          <w:sz w:val="20"/>
          <w:szCs w:val="20"/>
        </w:rPr>
        <w:t xml:space="preserve"> </w:t>
      </w:r>
      <w:r w:rsidRPr="000F09BD">
        <w:rPr>
          <w:rFonts w:ascii="Verdana" w:hAnsi="Verdana"/>
          <w:sz w:val="20"/>
          <w:szCs w:val="20"/>
        </w:rPr>
        <w:t xml:space="preserve">Der weitere Kontakt zwischen Meldestelle und Hinweisgeber*in erfolgt sodann über ein einzurichtendes Postfach. </w:t>
      </w:r>
    </w:p>
    <w:p w14:paraId="710C99D1" w14:textId="6F700F66" w:rsidR="000A647F" w:rsidRPr="000F09BD" w:rsidRDefault="000A647F" w:rsidP="000A647F">
      <w:pPr>
        <w:pStyle w:val="GBFliesstext"/>
        <w:numPr>
          <w:ilvl w:val="0"/>
          <w:numId w:val="5"/>
        </w:numPr>
        <w:spacing w:after="240"/>
        <w:rPr>
          <w:rFonts w:ascii="Verdana" w:hAnsi="Verdana"/>
          <w:b/>
          <w:bCs/>
          <w:sz w:val="20"/>
          <w:szCs w:val="20"/>
        </w:rPr>
      </w:pPr>
      <w:r w:rsidRPr="000F09BD">
        <w:rPr>
          <w:rFonts w:ascii="Verdana" w:hAnsi="Verdana"/>
          <w:b/>
          <w:bCs/>
          <w:sz w:val="20"/>
          <w:szCs w:val="20"/>
        </w:rPr>
        <w:t>Welche Verstöße fallen in den Anwendungsbereich des Hinweisgeberschutzgesetzes?</w:t>
      </w:r>
    </w:p>
    <w:p w14:paraId="6508BE5D" w14:textId="162571F3" w:rsidR="000A647F" w:rsidRPr="000F09BD" w:rsidRDefault="000A647F" w:rsidP="000A647F">
      <w:pPr>
        <w:pStyle w:val="GBFliesstext"/>
        <w:rPr>
          <w:rFonts w:ascii="Verdana" w:hAnsi="Verdana"/>
          <w:sz w:val="20"/>
          <w:szCs w:val="20"/>
        </w:rPr>
      </w:pPr>
      <w:r w:rsidRPr="000F09BD">
        <w:rPr>
          <w:rFonts w:ascii="Verdana" w:hAnsi="Verdana"/>
          <w:sz w:val="20"/>
          <w:szCs w:val="20"/>
        </w:rPr>
        <w:t xml:space="preserve">Der sachliche Anwendungsbereich des Gesetzes wird in § 2 </w:t>
      </w:r>
      <w:proofErr w:type="spellStart"/>
      <w:r w:rsidRPr="000F09BD">
        <w:rPr>
          <w:rFonts w:ascii="Verdana" w:hAnsi="Verdana"/>
          <w:sz w:val="20"/>
          <w:szCs w:val="20"/>
        </w:rPr>
        <w:t>HinSchG</w:t>
      </w:r>
      <w:proofErr w:type="spellEnd"/>
      <w:r w:rsidRPr="000F09BD">
        <w:rPr>
          <w:rFonts w:ascii="Verdana" w:hAnsi="Verdana"/>
          <w:sz w:val="20"/>
          <w:szCs w:val="20"/>
        </w:rPr>
        <w:t xml:space="preserve"> geregelt. Danach wird der/die Hinweisgeber*in vom Schutz des Gesetzes erfasst, wenn die die dort aufgeführten Verstöße gemeldet werden. </w:t>
      </w:r>
    </w:p>
    <w:p w14:paraId="5E888053" w14:textId="77777777" w:rsidR="00555F0C" w:rsidRPr="000F09BD" w:rsidRDefault="000A647F" w:rsidP="000A647F">
      <w:pPr>
        <w:pStyle w:val="GBFliesstext"/>
        <w:rPr>
          <w:rFonts w:ascii="Verdana" w:hAnsi="Verdana"/>
          <w:sz w:val="20"/>
          <w:szCs w:val="20"/>
        </w:rPr>
      </w:pPr>
      <w:r w:rsidRPr="000F09BD">
        <w:rPr>
          <w:rFonts w:ascii="Verdana" w:hAnsi="Verdana"/>
          <w:sz w:val="20"/>
          <w:szCs w:val="20"/>
        </w:rPr>
        <w:t>Der sachliche Anwendungsbereich umfasst</w:t>
      </w:r>
    </w:p>
    <w:p w14:paraId="66BED459" w14:textId="77777777" w:rsidR="00555F0C" w:rsidRPr="000F09BD" w:rsidRDefault="00555F0C" w:rsidP="00555F0C">
      <w:pPr>
        <w:pStyle w:val="GBFliesstext"/>
        <w:numPr>
          <w:ilvl w:val="0"/>
          <w:numId w:val="5"/>
        </w:numPr>
        <w:rPr>
          <w:rFonts w:ascii="Verdana" w:hAnsi="Verdana"/>
          <w:sz w:val="20"/>
          <w:szCs w:val="20"/>
        </w:rPr>
      </w:pPr>
      <w:r w:rsidRPr="000F09BD">
        <w:rPr>
          <w:rFonts w:ascii="Verdana" w:hAnsi="Verdana"/>
          <w:sz w:val="20"/>
          <w:szCs w:val="20"/>
        </w:rPr>
        <w:t>Verstöße, die strafbewehrt sind</w:t>
      </w:r>
    </w:p>
    <w:p w14:paraId="6BBAF942" w14:textId="26E82F48" w:rsidR="00555F0C" w:rsidRPr="000F09BD" w:rsidRDefault="00555F0C" w:rsidP="00555F0C">
      <w:pPr>
        <w:pStyle w:val="GBFliesstext"/>
        <w:numPr>
          <w:ilvl w:val="0"/>
          <w:numId w:val="5"/>
        </w:numPr>
        <w:rPr>
          <w:rFonts w:ascii="Verdana" w:hAnsi="Verdana"/>
          <w:sz w:val="20"/>
          <w:szCs w:val="20"/>
        </w:rPr>
      </w:pPr>
      <w:r w:rsidRPr="000F09BD">
        <w:rPr>
          <w:rFonts w:ascii="Verdana" w:hAnsi="Verdana"/>
          <w:sz w:val="20"/>
          <w:szCs w:val="20"/>
        </w:rPr>
        <w:t>Verstöße, die bußgeldbewährt sind, soweit die verletzte Vorschrift dem Schutz von Leben, Leib oder Gesundheit oder dem Schutz der Rechte von Beschäftigten oder ihrer Vertretungsorgane dient</w:t>
      </w:r>
    </w:p>
    <w:p w14:paraId="7BE98FFA" w14:textId="15E42061" w:rsidR="000A647F" w:rsidRPr="000F09BD" w:rsidRDefault="000A647F" w:rsidP="00555F0C">
      <w:pPr>
        <w:pStyle w:val="GBFliesstext"/>
        <w:numPr>
          <w:ilvl w:val="0"/>
          <w:numId w:val="5"/>
        </w:numPr>
        <w:rPr>
          <w:rFonts w:ascii="Verdana" w:hAnsi="Verdana"/>
          <w:sz w:val="20"/>
          <w:szCs w:val="20"/>
        </w:rPr>
      </w:pPr>
      <w:r w:rsidRPr="000F09BD">
        <w:rPr>
          <w:rFonts w:ascii="Verdana" w:hAnsi="Verdana"/>
          <w:sz w:val="20"/>
          <w:szCs w:val="20"/>
        </w:rPr>
        <w:t>alle Verstöße gegen Rechtsvorschriften des Bundes und der Länder sowie unmittelbar geltende Rechtsakte der EU und der Europäischen Atomgemeinschaft. Darunter fallen u. a. insbesondere folgende Regelungen und Vorgaben:</w:t>
      </w:r>
    </w:p>
    <w:p w14:paraId="4A456DEB"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zur Bekämpfung der Geldwäsche,</w:t>
      </w:r>
    </w:p>
    <w:p w14:paraId="6496B333"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zur Produktsicherheit,</w:t>
      </w:r>
    </w:p>
    <w:p w14:paraId="04659BC6"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zur Beförderung gefährlicher Güter,</w:t>
      </w:r>
    </w:p>
    <w:p w14:paraId="4915B227"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lastRenderedPageBreak/>
        <w:t>zum Umweltschutz, Strahlenschutz,</w:t>
      </w:r>
    </w:p>
    <w:p w14:paraId="606056FC"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zur Lebensmittel- und Futtermittelsicherheit,</w:t>
      </w:r>
    </w:p>
    <w:p w14:paraId="6AF5F310"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zu Qualitäts- und Sicherheitsstandards bei Arzneimitteln und Medizinprodukten,</w:t>
      </w:r>
    </w:p>
    <w:p w14:paraId="787A8DC4"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des Verbraucherschutzes,</w:t>
      </w:r>
    </w:p>
    <w:p w14:paraId="109D9A35"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des Datenschutzes,</w:t>
      </w:r>
    </w:p>
    <w:p w14:paraId="09319C6E"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der Sicherheit in der Informationstechnik,</w:t>
      </w:r>
    </w:p>
    <w:p w14:paraId="4F4ACBC7" w14:textId="77777777" w:rsidR="000A647F" w:rsidRPr="000F09BD" w:rsidRDefault="000A647F" w:rsidP="000A647F">
      <w:pPr>
        <w:pStyle w:val="GBFliesstext"/>
        <w:numPr>
          <w:ilvl w:val="0"/>
          <w:numId w:val="8"/>
        </w:numPr>
        <w:rPr>
          <w:rFonts w:ascii="Verdana" w:hAnsi="Verdana"/>
          <w:sz w:val="20"/>
          <w:szCs w:val="20"/>
        </w:rPr>
      </w:pPr>
      <w:r w:rsidRPr="000F09BD">
        <w:rPr>
          <w:rFonts w:ascii="Verdana" w:hAnsi="Verdana"/>
          <w:sz w:val="20"/>
          <w:szCs w:val="20"/>
        </w:rPr>
        <w:t>des Vergaberechts,</w:t>
      </w:r>
    </w:p>
    <w:p w14:paraId="390B9E49" w14:textId="03786464" w:rsidR="000A647F" w:rsidRPr="000F09BD" w:rsidRDefault="000A647F" w:rsidP="000A647F">
      <w:pPr>
        <w:pStyle w:val="GBFliesstext"/>
        <w:numPr>
          <w:ilvl w:val="0"/>
          <w:numId w:val="8"/>
        </w:numPr>
        <w:spacing w:after="240"/>
        <w:rPr>
          <w:rFonts w:ascii="Verdana" w:hAnsi="Verdana"/>
          <w:sz w:val="20"/>
          <w:szCs w:val="20"/>
        </w:rPr>
      </w:pPr>
      <w:r w:rsidRPr="000F09BD">
        <w:rPr>
          <w:rFonts w:ascii="Verdana" w:hAnsi="Verdana"/>
          <w:sz w:val="20"/>
          <w:szCs w:val="20"/>
        </w:rPr>
        <w:t>zur Rechnungslegung bei Kapitalgesellschaften.</w:t>
      </w:r>
    </w:p>
    <w:p w14:paraId="39F4D72A" w14:textId="2BF4BAFA" w:rsidR="000A647F" w:rsidRPr="000F09BD" w:rsidRDefault="000A647F" w:rsidP="002B11D9">
      <w:pPr>
        <w:pStyle w:val="GBFliesstext"/>
        <w:numPr>
          <w:ilvl w:val="0"/>
          <w:numId w:val="5"/>
        </w:numPr>
        <w:spacing w:after="240"/>
        <w:rPr>
          <w:rFonts w:ascii="Verdana" w:hAnsi="Verdana"/>
          <w:b/>
          <w:bCs/>
          <w:sz w:val="20"/>
          <w:szCs w:val="20"/>
        </w:rPr>
      </w:pPr>
      <w:r w:rsidRPr="000F09BD">
        <w:rPr>
          <w:rFonts w:ascii="Verdana" w:hAnsi="Verdana"/>
          <w:b/>
          <w:bCs/>
          <w:sz w:val="20"/>
          <w:szCs w:val="20"/>
        </w:rPr>
        <w:t xml:space="preserve">Was </w:t>
      </w:r>
      <w:r w:rsidR="0016358D" w:rsidRPr="000F09BD">
        <w:rPr>
          <w:rFonts w:ascii="Verdana" w:hAnsi="Verdana"/>
          <w:b/>
          <w:bCs/>
          <w:sz w:val="20"/>
          <w:szCs w:val="20"/>
        </w:rPr>
        <w:t>passiert</w:t>
      </w:r>
      <w:r w:rsidRPr="000F09BD">
        <w:rPr>
          <w:rFonts w:ascii="Verdana" w:hAnsi="Verdana"/>
          <w:b/>
          <w:bCs/>
          <w:sz w:val="20"/>
          <w:szCs w:val="20"/>
        </w:rPr>
        <w:t>, wenn eine Meldung eingeht?</w:t>
      </w:r>
    </w:p>
    <w:p w14:paraId="738F46DE" w14:textId="7CCD8FDD" w:rsidR="000A647F" w:rsidRPr="000F09BD" w:rsidRDefault="000A647F" w:rsidP="000A647F">
      <w:pPr>
        <w:pStyle w:val="GBFliesstext"/>
        <w:rPr>
          <w:rFonts w:ascii="Verdana" w:hAnsi="Verdana"/>
          <w:sz w:val="20"/>
          <w:szCs w:val="20"/>
        </w:rPr>
      </w:pPr>
      <w:r w:rsidRPr="000F09BD">
        <w:rPr>
          <w:rFonts w:ascii="Verdana" w:hAnsi="Verdana"/>
          <w:sz w:val="20"/>
          <w:szCs w:val="20"/>
        </w:rPr>
        <w:t xml:space="preserve">Gemäß § 17 </w:t>
      </w:r>
      <w:proofErr w:type="spellStart"/>
      <w:r w:rsidRPr="000F09BD">
        <w:rPr>
          <w:rFonts w:ascii="Verdana" w:hAnsi="Verdana"/>
          <w:sz w:val="20"/>
          <w:szCs w:val="20"/>
        </w:rPr>
        <w:t>HinSchG</w:t>
      </w:r>
      <w:proofErr w:type="spellEnd"/>
      <w:r w:rsidRPr="000F09BD">
        <w:rPr>
          <w:rFonts w:ascii="Verdana" w:hAnsi="Verdana"/>
          <w:sz w:val="20"/>
          <w:szCs w:val="20"/>
        </w:rPr>
        <w:t xml:space="preserve"> ist bei Eingang einer Meldung wie folgt zu verfahren:</w:t>
      </w:r>
    </w:p>
    <w:p w14:paraId="5A9E9A33"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Bestätigung des Eingangs der Meldung an die hinweisgebende Person spätestens nach sieben Tagen;</w:t>
      </w:r>
    </w:p>
    <w:p w14:paraId="118E7CF5"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 xml:space="preserve">Prüfung, ob der gemeldete Verstoß in den sachlichen Anwendungsbereich des § 2 </w:t>
      </w:r>
      <w:proofErr w:type="spellStart"/>
      <w:r w:rsidRPr="000F09BD">
        <w:rPr>
          <w:rFonts w:ascii="Verdana" w:hAnsi="Verdana"/>
          <w:sz w:val="20"/>
          <w:szCs w:val="20"/>
        </w:rPr>
        <w:t>HinSchG</w:t>
      </w:r>
      <w:proofErr w:type="spellEnd"/>
      <w:r w:rsidRPr="000F09BD">
        <w:rPr>
          <w:rFonts w:ascii="Verdana" w:hAnsi="Verdana"/>
          <w:sz w:val="20"/>
          <w:szCs w:val="20"/>
        </w:rPr>
        <w:t xml:space="preserve"> fällt;</w:t>
      </w:r>
    </w:p>
    <w:p w14:paraId="225C8218"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Kontakt mit der hinweisgebenden Person halten, ggf. um weitere Information ersuchen;</w:t>
      </w:r>
    </w:p>
    <w:p w14:paraId="51F7AA4F"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Prüfung der Stichhaltigkeit der eingegangenen Meldung;</w:t>
      </w:r>
    </w:p>
    <w:p w14:paraId="254D7F81"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Ergreifen angemessener Folgemaßnahmen;</w:t>
      </w:r>
    </w:p>
    <w:p w14:paraId="2921336F" w14:textId="77777777" w:rsidR="000A647F" w:rsidRPr="000F09BD" w:rsidRDefault="000A647F" w:rsidP="000A647F">
      <w:pPr>
        <w:pStyle w:val="GBFliesstext"/>
        <w:numPr>
          <w:ilvl w:val="0"/>
          <w:numId w:val="9"/>
        </w:numPr>
        <w:rPr>
          <w:rFonts w:ascii="Verdana" w:hAnsi="Verdana"/>
          <w:sz w:val="20"/>
          <w:szCs w:val="20"/>
        </w:rPr>
      </w:pPr>
      <w:r w:rsidRPr="000F09BD">
        <w:rPr>
          <w:rFonts w:ascii="Verdana" w:hAnsi="Verdana"/>
          <w:sz w:val="20"/>
          <w:szCs w:val="20"/>
        </w:rPr>
        <w:t>Rückmeldung an die hinweisgebende Person innerhalb von drei Monaten nach der Bestätigung des Eingangs der Meldung; wobei die Rückmeldung die Mitteilung geplanter sowie bereits ergriffener Folgemaßnahmen sowie die Gründe für diese enthalten soll, sofern dadurch interne Nachforschungen oder Ermittlungen nicht berührt und die Rechte der Personen, die Gegenstand einer Meldung sind oder die in der Meldung genannt werden, nicht beeinträchtigt werden;</w:t>
      </w:r>
    </w:p>
    <w:p w14:paraId="341655C2" w14:textId="79BEEC4F" w:rsidR="00A92359" w:rsidRPr="000F09BD" w:rsidRDefault="000A647F" w:rsidP="000A647F">
      <w:pPr>
        <w:pStyle w:val="GBFliesstext"/>
        <w:numPr>
          <w:ilvl w:val="0"/>
          <w:numId w:val="9"/>
        </w:numPr>
        <w:spacing w:after="240"/>
        <w:rPr>
          <w:rFonts w:ascii="Verdana" w:hAnsi="Verdana"/>
          <w:sz w:val="20"/>
          <w:szCs w:val="20"/>
        </w:rPr>
      </w:pPr>
      <w:r w:rsidRPr="000F09BD">
        <w:rPr>
          <w:rFonts w:ascii="Verdana" w:hAnsi="Verdana"/>
          <w:sz w:val="20"/>
          <w:szCs w:val="20"/>
        </w:rPr>
        <w:t>Dokumentation der Hinweise unter Beachtung des Vertraulichkeitsgebotes. Diese Dokumentation ist drei Jahre nach Abschluss des Verfahrens zu löschen, sofern es nicht zur Bearbeitung des Hinweises oder nach anderen Rechtsvorschriften erforderlich und verhältnismäßig ist, die Dokumentation noch länger zu speichern.</w:t>
      </w:r>
    </w:p>
    <w:p w14:paraId="27151A18" w14:textId="29F519DE" w:rsidR="002B11D9" w:rsidRPr="000F09BD" w:rsidRDefault="002B11D9" w:rsidP="00AA555B">
      <w:pPr>
        <w:pStyle w:val="GBFliesstext"/>
        <w:spacing w:after="240"/>
        <w:rPr>
          <w:rFonts w:ascii="Verdana" w:hAnsi="Verdana"/>
          <w:sz w:val="20"/>
          <w:szCs w:val="20"/>
        </w:rPr>
      </w:pPr>
      <w:r w:rsidRPr="000F09BD">
        <w:rPr>
          <w:rFonts w:ascii="Verdana" w:hAnsi="Verdana"/>
          <w:sz w:val="20"/>
          <w:szCs w:val="20"/>
        </w:rPr>
        <w:t>Sofern Sie weiterführende Fragen haben, wenden Sie sich gern an uns.</w:t>
      </w:r>
    </w:p>
    <w:p w14:paraId="02C86F65" w14:textId="38441637" w:rsidR="00AA555B" w:rsidRPr="000F09BD" w:rsidRDefault="00AA555B" w:rsidP="00AA555B">
      <w:pPr>
        <w:pStyle w:val="GBFliesstext"/>
        <w:spacing w:after="240"/>
        <w:rPr>
          <w:rFonts w:ascii="Verdana" w:hAnsi="Verdana"/>
          <w:sz w:val="20"/>
          <w:szCs w:val="20"/>
        </w:rPr>
      </w:pPr>
      <w:r w:rsidRPr="000F09BD">
        <w:rPr>
          <w:rFonts w:ascii="Verdana" w:hAnsi="Verdana"/>
          <w:sz w:val="20"/>
          <w:szCs w:val="20"/>
        </w:rPr>
        <w:t xml:space="preserve">Mit freundlichen Grüßen </w:t>
      </w:r>
    </w:p>
    <w:p w14:paraId="0D37979E" w14:textId="0EDD8CB4" w:rsidR="00397629" w:rsidRPr="000F09BD" w:rsidRDefault="00397629" w:rsidP="00397629">
      <w:pPr>
        <w:pStyle w:val="GBFliesstext"/>
        <w:jc w:val="left"/>
        <w:rPr>
          <w:rFonts w:ascii="Verdana" w:hAnsi="Verdana"/>
          <w:sz w:val="20"/>
          <w:szCs w:val="20"/>
        </w:rPr>
      </w:pPr>
    </w:p>
    <w:p w14:paraId="7169D62F" w14:textId="044AB340" w:rsidR="00397629" w:rsidRPr="000F09BD" w:rsidRDefault="00397629" w:rsidP="005D405D">
      <w:pPr>
        <w:pStyle w:val="GBFliesstext"/>
        <w:rPr>
          <w:rFonts w:ascii="Verdana" w:hAnsi="Verdana"/>
          <w:sz w:val="20"/>
          <w:szCs w:val="20"/>
        </w:rPr>
      </w:pPr>
    </w:p>
    <w:p w14:paraId="40CB6090" w14:textId="77777777" w:rsidR="00397629" w:rsidRPr="000F09BD" w:rsidRDefault="00397629" w:rsidP="005D405D">
      <w:pPr>
        <w:pStyle w:val="GBFliesstext"/>
        <w:rPr>
          <w:rFonts w:ascii="Verdana" w:hAnsi="Verdana"/>
          <w:sz w:val="20"/>
          <w:szCs w:val="20"/>
        </w:rPr>
      </w:pPr>
    </w:p>
    <w:sectPr w:rsidR="00397629" w:rsidRPr="000F09BD" w:rsidSect="00DB1AEC">
      <w:footerReference w:type="default" r:id="rId8"/>
      <w:headerReference w:type="first" r:id="rId9"/>
      <w:footerReference w:type="first" r:id="rId10"/>
      <w:type w:val="continuous"/>
      <w:pgSz w:w="11906" w:h="16838" w:code="9"/>
      <w:pgMar w:top="1134" w:right="1440" w:bottom="1560" w:left="1440" w:header="709" w:footer="147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FF70" w14:textId="77777777" w:rsidR="004D4C5F" w:rsidRDefault="004D4C5F" w:rsidP="00B255D4">
      <w:pPr>
        <w:spacing w:after="0" w:line="240" w:lineRule="auto"/>
      </w:pPr>
      <w:r>
        <w:separator/>
      </w:r>
    </w:p>
  </w:endnote>
  <w:endnote w:type="continuationSeparator" w:id="0">
    <w:p w14:paraId="463DA691" w14:textId="77777777" w:rsidR="004D4C5F" w:rsidRDefault="004D4C5F" w:rsidP="00B2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07C" w14:textId="77777777" w:rsidR="00FC3161" w:rsidRPr="008A26CA" w:rsidRDefault="00BA08E7" w:rsidP="00A716E9">
    <w:pPr>
      <w:pStyle w:val="Fuzeile"/>
      <w:ind w:right="804"/>
    </w:pPr>
    <w:r>
      <w:rPr>
        <w:noProof/>
        <w:lang w:val="en-US"/>
      </w:rPr>
      <mc:AlternateContent>
        <mc:Choice Requires="wps">
          <w:drawing>
            <wp:anchor distT="45720" distB="45720" distL="114300" distR="114300" simplePos="0" relativeHeight="251661312" behindDoc="0" locked="1" layoutInCell="1" allowOverlap="1" wp14:anchorId="469FB761" wp14:editId="784AD7DB">
              <wp:simplePos x="0" y="0"/>
              <wp:positionH relativeFrom="page">
                <wp:posOffset>3636645</wp:posOffset>
              </wp:positionH>
              <wp:positionV relativeFrom="bottomMargin">
                <wp:posOffset>325120</wp:posOffset>
              </wp:positionV>
              <wp:extent cx="417600" cy="288000"/>
              <wp:effectExtent l="0" t="0" r="1905" b="0"/>
              <wp:wrapSquare wrapText="bothSides"/>
              <wp:docPr id="2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288000"/>
                      </a:xfrm>
                      <a:prstGeom prst="rect">
                        <a:avLst/>
                      </a:prstGeom>
                      <a:solidFill>
                        <a:srgbClr val="FFFFFF"/>
                      </a:solidFill>
                      <a:ln w="9525">
                        <a:noFill/>
                        <a:miter lim="800000"/>
                        <a:headEnd/>
                        <a:tailEnd/>
                      </a:ln>
                    </wps:spPr>
                    <wps:txbx>
                      <w:txbxContent>
                        <w:p w14:paraId="15E41109" w14:textId="77777777" w:rsidR="00FC3161" w:rsidRPr="008A26CA" w:rsidRDefault="00BA08E7" w:rsidP="00A716E9">
                          <w:r w:rsidRPr="008A26CA">
                            <w:fldChar w:fldCharType="begin"/>
                          </w:r>
                          <w:r w:rsidRPr="008A26CA">
                            <w:instrText xml:space="preserve"> PAGE  \* Arabic  \* MERGEFORMAT </w:instrText>
                          </w:r>
                          <w:r w:rsidRPr="008A26CA">
                            <w:fldChar w:fldCharType="separate"/>
                          </w:r>
                          <w:r w:rsidR="005D405D">
                            <w:rPr>
                              <w:noProof/>
                            </w:rPr>
                            <w:t>3</w:t>
                          </w:r>
                          <w:r w:rsidRPr="008A26CA">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FB761" id="_x0000_t202" coordsize="21600,21600" o:spt="202" path="m,l,21600r21600,l21600,xe">
              <v:stroke joinstyle="miter"/>
              <v:path gradientshapeok="t" o:connecttype="rect"/>
            </v:shapetype>
            <v:shape id="Textfeld 2" o:spid="_x0000_s1026" type="#_x0000_t202" style="position:absolute;margin-left:286.35pt;margin-top:25.6pt;width:32.9pt;height:2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gECgIAAPU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" stroked="f">
              <v:textbox>
                <w:txbxContent>
                  <w:p w14:paraId="15E41109" w14:textId="77777777" w:rsidR="00FC3161" w:rsidRPr="008A26CA" w:rsidRDefault="00BA08E7" w:rsidP="00A716E9">
                    <w:r w:rsidRPr="008A26CA">
                      <w:fldChar w:fldCharType="begin"/>
                    </w:r>
                    <w:r w:rsidRPr="008A26CA">
                      <w:instrText xml:space="preserve"> PAGE  \* Arabic  \* MERGEFORMAT </w:instrText>
                    </w:r>
                    <w:r w:rsidRPr="008A26CA">
                      <w:fldChar w:fldCharType="separate"/>
                    </w:r>
                    <w:r w:rsidR="005D405D">
                      <w:rPr>
                        <w:noProof/>
                      </w:rPr>
                      <w:t>3</w:t>
                    </w:r>
                    <w:r w:rsidRPr="008A26CA">
                      <w:fldChar w:fldCharType="end"/>
                    </w:r>
                  </w:p>
                </w:txbxContent>
              </v:textbox>
              <w10:wrap type="square" anchorx="page"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F737" w14:textId="77777777" w:rsidR="00FC3161" w:rsidRPr="008A26CA" w:rsidRDefault="00BA08E7" w:rsidP="006326B1">
    <w:pPr>
      <w:pStyle w:val="Fuzeile"/>
      <w:ind w:right="804"/>
    </w:pPr>
    <w:r w:rsidRPr="008A26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FCE6" w14:textId="77777777" w:rsidR="004D4C5F" w:rsidRDefault="004D4C5F" w:rsidP="00B255D4">
      <w:pPr>
        <w:spacing w:after="0" w:line="240" w:lineRule="auto"/>
      </w:pPr>
      <w:r>
        <w:separator/>
      </w:r>
    </w:p>
  </w:footnote>
  <w:footnote w:type="continuationSeparator" w:id="0">
    <w:p w14:paraId="43307653" w14:textId="77777777" w:rsidR="004D4C5F" w:rsidRDefault="004D4C5F" w:rsidP="00B2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7CA" w14:textId="77777777" w:rsidR="00FC3161" w:rsidRPr="008A26CA" w:rsidRDefault="00FC3161" w:rsidP="00132D99">
    <w:pPr>
      <w:pStyle w:val="Kopfzeile"/>
      <w:tabs>
        <w:tab w:val="clear" w:pos="4513"/>
        <w:tab w:val="clear" w:pos="9026"/>
        <w:tab w:val="left" w:pos="1578"/>
      </w:tabs>
    </w:pPr>
  </w:p>
  <w:p w14:paraId="50861699" w14:textId="3BD49204" w:rsidR="00FC3161" w:rsidRPr="008A26CA" w:rsidRDefault="00FC3161" w:rsidP="00FE27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2CB"/>
    <w:multiLevelType w:val="hybridMultilevel"/>
    <w:tmpl w:val="32FC6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12E65"/>
    <w:multiLevelType w:val="hybridMultilevel"/>
    <w:tmpl w:val="546E9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30DE4"/>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75443"/>
    <w:multiLevelType w:val="hybridMultilevel"/>
    <w:tmpl w:val="A5FA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A71FB5"/>
    <w:multiLevelType w:val="hybridMultilevel"/>
    <w:tmpl w:val="4502B3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E36EAB"/>
    <w:multiLevelType w:val="hybridMultilevel"/>
    <w:tmpl w:val="A7F6023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317513D"/>
    <w:multiLevelType w:val="hybridMultilevel"/>
    <w:tmpl w:val="0B64546C"/>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C5663D"/>
    <w:multiLevelType w:val="hybridMultilevel"/>
    <w:tmpl w:val="02444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738C6"/>
    <w:multiLevelType w:val="hybridMultilevel"/>
    <w:tmpl w:val="57220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0D3344"/>
    <w:multiLevelType w:val="hybridMultilevel"/>
    <w:tmpl w:val="10DE7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4544365">
    <w:abstractNumId w:val="2"/>
  </w:num>
  <w:num w:numId="2" w16cid:durableId="207956443">
    <w:abstractNumId w:val="9"/>
  </w:num>
  <w:num w:numId="3" w16cid:durableId="468284992">
    <w:abstractNumId w:val="4"/>
  </w:num>
  <w:num w:numId="4" w16cid:durableId="1889338285">
    <w:abstractNumId w:val="1"/>
  </w:num>
  <w:num w:numId="5" w16cid:durableId="187262882">
    <w:abstractNumId w:val="0"/>
  </w:num>
  <w:num w:numId="6" w16cid:durableId="1093474943">
    <w:abstractNumId w:val="3"/>
  </w:num>
  <w:num w:numId="7" w16cid:durableId="1524055592">
    <w:abstractNumId w:val="7"/>
  </w:num>
  <w:num w:numId="8" w16cid:durableId="1735395319">
    <w:abstractNumId w:val="5"/>
  </w:num>
  <w:num w:numId="9" w16cid:durableId="1221017787">
    <w:abstractNumId w:val="6"/>
  </w:num>
  <w:num w:numId="10" w16cid:durableId="1247694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C"/>
    <w:rsid w:val="00007B0E"/>
    <w:rsid w:val="00012C9E"/>
    <w:rsid w:val="00012FD6"/>
    <w:rsid w:val="00014696"/>
    <w:rsid w:val="00037AE2"/>
    <w:rsid w:val="000535B8"/>
    <w:rsid w:val="00057A56"/>
    <w:rsid w:val="00060AC3"/>
    <w:rsid w:val="00081DDA"/>
    <w:rsid w:val="000A647F"/>
    <w:rsid w:val="000F09BD"/>
    <w:rsid w:val="001046DA"/>
    <w:rsid w:val="0011258C"/>
    <w:rsid w:val="00113253"/>
    <w:rsid w:val="00116431"/>
    <w:rsid w:val="0012350F"/>
    <w:rsid w:val="00123D94"/>
    <w:rsid w:val="0014242F"/>
    <w:rsid w:val="0016199B"/>
    <w:rsid w:val="0016358D"/>
    <w:rsid w:val="00177F2F"/>
    <w:rsid w:val="001927CD"/>
    <w:rsid w:val="00192954"/>
    <w:rsid w:val="001A4B4A"/>
    <w:rsid w:val="001A4F23"/>
    <w:rsid w:val="001C1BE3"/>
    <w:rsid w:val="001D707C"/>
    <w:rsid w:val="001E18CA"/>
    <w:rsid w:val="001E617B"/>
    <w:rsid w:val="001F2A4C"/>
    <w:rsid w:val="00214BA9"/>
    <w:rsid w:val="00224FB8"/>
    <w:rsid w:val="00233A6F"/>
    <w:rsid w:val="00244EC0"/>
    <w:rsid w:val="00257B49"/>
    <w:rsid w:val="0027085D"/>
    <w:rsid w:val="002748C8"/>
    <w:rsid w:val="002B1140"/>
    <w:rsid w:val="002B11D9"/>
    <w:rsid w:val="002B1651"/>
    <w:rsid w:val="002B75A5"/>
    <w:rsid w:val="002C27AC"/>
    <w:rsid w:val="002E1D47"/>
    <w:rsid w:val="002F6E61"/>
    <w:rsid w:val="0031636D"/>
    <w:rsid w:val="00317387"/>
    <w:rsid w:val="00317CF9"/>
    <w:rsid w:val="00334778"/>
    <w:rsid w:val="003426D5"/>
    <w:rsid w:val="00347AF4"/>
    <w:rsid w:val="00350726"/>
    <w:rsid w:val="00361175"/>
    <w:rsid w:val="00361B4D"/>
    <w:rsid w:val="0037413A"/>
    <w:rsid w:val="00374B97"/>
    <w:rsid w:val="00382DCE"/>
    <w:rsid w:val="0038407B"/>
    <w:rsid w:val="003910BD"/>
    <w:rsid w:val="003927F9"/>
    <w:rsid w:val="00393250"/>
    <w:rsid w:val="003938F8"/>
    <w:rsid w:val="0039707C"/>
    <w:rsid w:val="00397629"/>
    <w:rsid w:val="003A3A7B"/>
    <w:rsid w:val="003A72A4"/>
    <w:rsid w:val="003B11AB"/>
    <w:rsid w:val="003B3E6A"/>
    <w:rsid w:val="003B4494"/>
    <w:rsid w:val="003C2E64"/>
    <w:rsid w:val="003C5F34"/>
    <w:rsid w:val="003E147D"/>
    <w:rsid w:val="003E3B62"/>
    <w:rsid w:val="003F0737"/>
    <w:rsid w:val="0040062E"/>
    <w:rsid w:val="00424DB1"/>
    <w:rsid w:val="00425CAC"/>
    <w:rsid w:val="00432BB1"/>
    <w:rsid w:val="0045445D"/>
    <w:rsid w:val="00456782"/>
    <w:rsid w:val="00462481"/>
    <w:rsid w:val="00464619"/>
    <w:rsid w:val="004778B4"/>
    <w:rsid w:val="00493BAB"/>
    <w:rsid w:val="004A550E"/>
    <w:rsid w:val="004B47A5"/>
    <w:rsid w:val="004B690C"/>
    <w:rsid w:val="004C7CE9"/>
    <w:rsid w:val="004D2078"/>
    <w:rsid w:val="004D2481"/>
    <w:rsid w:val="004D4C5F"/>
    <w:rsid w:val="004E189B"/>
    <w:rsid w:val="004F7E34"/>
    <w:rsid w:val="00503AFD"/>
    <w:rsid w:val="005053CA"/>
    <w:rsid w:val="005201BD"/>
    <w:rsid w:val="00524E3D"/>
    <w:rsid w:val="005364DD"/>
    <w:rsid w:val="00536A96"/>
    <w:rsid w:val="00537F83"/>
    <w:rsid w:val="00553E42"/>
    <w:rsid w:val="005558B3"/>
    <w:rsid w:val="00555F0C"/>
    <w:rsid w:val="0056359A"/>
    <w:rsid w:val="005638E0"/>
    <w:rsid w:val="005820EA"/>
    <w:rsid w:val="00596C88"/>
    <w:rsid w:val="005A7ACA"/>
    <w:rsid w:val="005B782F"/>
    <w:rsid w:val="005B7907"/>
    <w:rsid w:val="005D405D"/>
    <w:rsid w:val="005F1782"/>
    <w:rsid w:val="005F7D58"/>
    <w:rsid w:val="00603D90"/>
    <w:rsid w:val="00615AA5"/>
    <w:rsid w:val="006320EA"/>
    <w:rsid w:val="0065454A"/>
    <w:rsid w:val="00670ECF"/>
    <w:rsid w:val="0067359E"/>
    <w:rsid w:val="00675E3C"/>
    <w:rsid w:val="00680AB4"/>
    <w:rsid w:val="006848FD"/>
    <w:rsid w:val="00696D69"/>
    <w:rsid w:val="006A1199"/>
    <w:rsid w:val="006A2C3B"/>
    <w:rsid w:val="006A5A28"/>
    <w:rsid w:val="006A7AD2"/>
    <w:rsid w:val="006B74D2"/>
    <w:rsid w:val="006C5EC2"/>
    <w:rsid w:val="006D05C3"/>
    <w:rsid w:val="006D40A1"/>
    <w:rsid w:val="006E013D"/>
    <w:rsid w:val="006E0159"/>
    <w:rsid w:val="006E5828"/>
    <w:rsid w:val="00707A94"/>
    <w:rsid w:val="007145A3"/>
    <w:rsid w:val="00720E8B"/>
    <w:rsid w:val="00732A6D"/>
    <w:rsid w:val="007423AE"/>
    <w:rsid w:val="007614B0"/>
    <w:rsid w:val="0077222C"/>
    <w:rsid w:val="007745A0"/>
    <w:rsid w:val="00775A70"/>
    <w:rsid w:val="007860A1"/>
    <w:rsid w:val="0079404D"/>
    <w:rsid w:val="007B6EB2"/>
    <w:rsid w:val="007C1C47"/>
    <w:rsid w:val="007C2F76"/>
    <w:rsid w:val="007C6762"/>
    <w:rsid w:val="007D0748"/>
    <w:rsid w:val="007D0C20"/>
    <w:rsid w:val="007F0F42"/>
    <w:rsid w:val="008060C3"/>
    <w:rsid w:val="008219BF"/>
    <w:rsid w:val="00825AFC"/>
    <w:rsid w:val="0083026A"/>
    <w:rsid w:val="00831B2C"/>
    <w:rsid w:val="00842E56"/>
    <w:rsid w:val="00845762"/>
    <w:rsid w:val="00847D86"/>
    <w:rsid w:val="00867EAC"/>
    <w:rsid w:val="008A25D3"/>
    <w:rsid w:val="008A5E5F"/>
    <w:rsid w:val="008B1E0B"/>
    <w:rsid w:val="008C6239"/>
    <w:rsid w:val="008C6971"/>
    <w:rsid w:val="008F1EE7"/>
    <w:rsid w:val="0092259C"/>
    <w:rsid w:val="009247B9"/>
    <w:rsid w:val="00927664"/>
    <w:rsid w:val="00927C74"/>
    <w:rsid w:val="00930C83"/>
    <w:rsid w:val="0094287C"/>
    <w:rsid w:val="009803E2"/>
    <w:rsid w:val="00982AD4"/>
    <w:rsid w:val="009842EE"/>
    <w:rsid w:val="00985EC9"/>
    <w:rsid w:val="00990A44"/>
    <w:rsid w:val="00993800"/>
    <w:rsid w:val="009A787E"/>
    <w:rsid w:val="009B1DB1"/>
    <w:rsid w:val="009C5406"/>
    <w:rsid w:val="009F10A1"/>
    <w:rsid w:val="009F6785"/>
    <w:rsid w:val="00A16238"/>
    <w:rsid w:val="00A43923"/>
    <w:rsid w:val="00A512A9"/>
    <w:rsid w:val="00A61852"/>
    <w:rsid w:val="00A71991"/>
    <w:rsid w:val="00A744C4"/>
    <w:rsid w:val="00A92359"/>
    <w:rsid w:val="00A94EEF"/>
    <w:rsid w:val="00AA555B"/>
    <w:rsid w:val="00AA7306"/>
    <w:rsid w:val="00AA7A74"/>
    <w:rsid w:val="00AB4DDA"/>
    <w:rsid w:val="00AB7007"/>
    <w:rsid w:val="00AB7891"/>
    <w:rsid w:val="00AC32FC"/>
    <w:rsid w:val="00AD251F"/>
    <w:rsid w:val="00AD3DEB"/>
    <w:rsid w:val="00AE2957"/>
    <w:rsid w:val="00B04A05"/>
    <w:rsid w:val="00B1345D"/>
    <w:rsid w:val="00B255D4"/>
    <w:rsid w:val="00B36C30"/>
    <w:rsid w:val="00B40AC4"/>
    <w:rsid w:val="00B457E8"/>
    <w:rsid w:val="00B53E07"/>
    <w:rsid w:val="00B5529A"/>
    <w:rsid w:val="00B71487"/>
    <w:rsid w:val="00B96E2C"/>
    <w:rsid w:val="00BA08E7"/>
    <w:rsid w:val="00BA1D48"/>
    <w:rsid w:val="00BA7EF6"/>
    <w:rsid w:val="00BB178D"/>
    <w:rsid w:val="00BB3A6A"/>
    <w:rsid w:val="00BB50CD"/>
    <w:rsid w:val="00BC17C4"/>
    <w:rsid w:val="00BC26BC"/>
    <w:rsid w:val="00BD2332"/>
    <w:rsid w:val="00BE30EE"/>
    <w:rsid w:val="00BF4A72"/>
    <w:rsid w:val="00C0659C"/>
    <w:rsid w:val="00C15195"/>
    <w:rsid w:val="00C30DF7"/>
    <w:rsid w:val="00C562CD"/>
    <w:rsid w:val="00C724BD"/>
    <w:rsid w:val="00C72CC8"/>
    <w:rsid w:val="00C76E15"/>
    <w:rsid w:val="00C773C9"/>
    <w:rsid w:val="00C85CD8"/>
    <w:rsid w:val="00C94AF1"/>
    <w:rsid w:val="00CA368E"/>
    <w:rsid w:val="00CF16F0"/>
    <w:rsid w:val="00CF1E8F"/>
    <w:rsid w:val="00D06F42"/>
    <w:rsid w:val="00D116FC"/>
    <w:rsid w:val="00D20079"/>
    <w:rsid w:val="00D21E7E"/>
    <w:rsid w:val="00D22878"/>
    <w:rsid w:val="00D62A9A"/>
    <w:rsid w:val="00D63022"/>
    <w:rsid w:val="00D637C3"/>
    <w:rsid w:val="00D6483B"/>
    <w:rsid w:val="00D67433"/>
    <w:rsid w:val="00D72BFC"/>
    <w:rsid w:val="00D8431A"/>
    <w:rsid w:val="00D95FFB"/>
    <w:rsid w:val="00DB092F"/>
    <w:rsid w:val="00DB1AEC"/>
    <w:rsid w:val="00DC22A7"/>
    <w:rsid w:val="00DD10B8"/>
    <w:rsid w:val="00DE5534"/>
    <w:rsid w:val="00E05404"/>
    <w:rsid w:val="00E27D83"/>
    <w:rsid w:val="00E30524"/>
    <w:rsid w:val="00E370E5"/>
    <w:rsid w:val="00E37E85"/>
    <w:rsid w:val="00E55BD1"/>
    <w:rsid w:val="00E7536B"/>
    <w:rsid w:val="00E75C76"/>
    <w:rsid w:val="00E76733"/>
    <w:rsid w:val="00E95C1A"/>
    <w:rsid w:val="00EE2D42"/>
    <w:rsid w:val="00EF26FE"/>
    <w:rsid w:val="00F073CE"/>
    <w:rsid w:val="00F149FF"/>
    <w:rsid w:val="00F20579"/>
    <w:rsid w:val="00F47B58"/>
    <w:rsid w:val="00F54EC9"/>
    <w:rsid w:val="00F60FF8"/>
    <w:rsid w:val="00F70879"/>
    <w:rsid w:val="00FA23EF"/>
    <w:rsid w:val="00FB10AE"/>
    <w:rsid w:val="00FB4FEE"/>
    <w:rsid w:val="00FB6809"/>
    <w:rsid w:val="00FC0BB3"/>
    <w:rsid w:val="00FC3161"/>
    <w:rsid w:val="00FC5982"/>
    <w:rsid w:val="00FF5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DC357"/>
  <w14:defaultImageDpi w14:val="32767"/>
  <w15:chartTrackingRefBased/>
  <w15:docId w15:val="{21FAFDAB-20F0-4353-A23A-17F831E5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A7A74"/>
    <w:pPr>
      <w:spacing w:after="240" w:line="240" w:lineRule="exact"/>
    </w:pPr>
    <w:rPr>
      <w:rFonts w:ascii="Source Sans Pro" w:hAnsi="Source Sans Pro"/>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5D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255D4"/>
  </w:style>
  <w:style w:type="paragraph" w:styleId="Fuzeile">
    <w:name w:val="footer"/>
    <w:basedOn w:val="Standard"/>
    <w:link w:val="FuzeileZchn"/>
    <w:uiPriority w:val="99"/>
    <w:unhideWhenUsed/>
    <w:rsid w:val="00B255D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255D4"/>
  </w:style>
  <w:style w:type="table" w:styleId="Tabellenraster">
    <w:name w:val="Table Grid"/>
    <w:basedOn w:val="NormaleTabelle"/>
    <w:uiPriority w:val="39"/>
    <w:rsid w:val="00B2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62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239"/>
    <w:rPr>
      <w:rFonts w:ascii="Segoe UI" w:hAnsi="Segoe UI" w:cs="Segoe UI"/>
      <w:sz w:val="18"/>
      <w:szCs w:val="18"/>
    </w:rPr>
  </w:style>
  <w:style w:type="character" w:styleId="Platzhaltertext">
    <w:name w:val="Placeholder Text"/>
    <w:basedOn w:val="Absatz-Standardschriftart"/>
    <w:uiPriority w:val="99"/>
    <w:semiHidden/>
    <w:rsid w:val="00503AFD"/>
    <w:rPr>
      <w:color w:val="808080"/>
    </w:rPr>
  </w:style>
  <w:style w:type="paragraph" w:customStyle="1" w:styleId="GBAdresse">
    <w:name w:val="GB_Adresse"/>
    <w:basedOn w:val="Standard"/>
    <w:qFormat/>
    <w:rsid w:val="001C1BE3"/>
    <w:pPr>
      <w:spacing w:after="0" w:line="290" w:lineRule="exact"/>
    </w:pPr>
  </w:style>
  <w:style w:type="paragraph" w:customStyle="1" w:styleId="GBAdresseZeile">
    <w:name w:val="GB_AdresseZeile"/>
    <w:basedOn w:val="Standard"/>
    <w:next w:val="Standard"/>
    <w:qFormat/>
    <w:rsid w:val="00317CF9"/>
    <w:pPr>
      <w:framePr w:w="6634" w:wrap="around" w:vAnchor="page" w:hAnchor="page" w:x="1419" w:y="2864" w:anchorLock="1"/>
      <w:spacing w:after="0" w:line="240" w:lineRule="auto"/>
    </w:pPr>
    <w:rPr>
      <w:w w:val="108"/>
      <w:sz w:val="13"/>
      <w:szCs w:val="13"/>
    </w:rPr>
  </w:style>
  <w:style w:type="paragraph" w:customStyle="1" w:styleId="GBAktenzeichen">
    <w:name w:val="GB_Aktenzeichen"/>
    <w:basedOn w:val="Standard"/>
    <w:next w:val="Standard"/>
    <w:link w:val="GBAktenzeichenZchn"/>
    <w:qFormat/>
    <w:rsid w:val="006A1199"/>
    <w:rPr>
      <w:sz w:val="16"/>
    </w:rPr>
  </w:style>
  <w:style w:type="character" w:customStyle="1" w:styleId="GBAktenzeichenZchn">
    <w:name w:val="GB_Aktenzeichen Zchn"/>
    <w:basedOn w:val="Absatz-Standardschriftart"/>
    <w:link w:val="GBAktenzeichen"/>
    <w:rsid w:val="006A1199"/>
    <w:rPr>
      <w:rFonts w:ascii="Source Sans Pro" w:hAnsi="Source Sans Pro"/>
      <w:sz w:val="16"/>
    </w:rPr>
  </w:style>
  <w:style w:type="paragraph" w:customStyle="1" w:styleId="GBAnrede">
    <w:name w:val="GB_Anrede"/>
    <w:basedOn w:val="Standard"/>
    <w:next w:val="GBFliesstext"/>
    <w:qFormat/>
    <w:rsid w:val="00493BAB"/>
    <w:pPr>
      <w:spacing w:after="80"/>
    </w:pPr>
  </w:style>
  <w:style w:type="paragraph" w:customStyle="1" w:styleId="GBAnsprechpartner">
    <w:name w:val="GB_Ansprechpartner"/>
    <w:basedOn w:val="Standard"/>
    <w:next w:val="Standard"/>
    <w:link w:val="GBAnsprechpartnerZchn"/>
    <w:qFormat/>
    <w:rsid w:val="00060AC3"/>
    <w:rPr>
      <w:w w:val="105"/>
      <w:sz w:val="17"/>
    </w:rPr>
  </w:style>
  <w:style w:type="character" w:customStyle="1" w:styleId="GBAnsprechpartnerZchn">
    <w:name w:val="GB_Ansprechpartner Zchn"/>
    <w:basedOn w:val="Absatz-Standardschriftart"/>
    <w:link w:val="GBAnsprechpartner"/>
    <w:rsid w:val="00060AC3"/>
    <w:rPr>
      <w:rFonts w:ascii="Source Sans Pro" w:hAnsi="Source Sans Pro"/>
      <w:w w:val="105"/>
      <w:sz w:val="17"/>
    </w:rPr>
  </w:style>
  <w:style w:type="paragraph" w:customStyle="1" w:styleId="GBBetreff">
    <w:name w:val="GB_Betreff"/>
    <w:basedOn w:val="Standard"/>
    <w:next w:val="Standard"/>
    <w:qFormat/>
    <w:rsid w:val="00060AC3"/>
    <w:pPr>
      <w:spacing w:before="1800" w:after="360"/>
    </w:pPr>
    <w:rPr>
      <w:b/>
      <w:w w:val="102"/>
    </w:rPr>
  </w:style>
  <w:style w:type="paragraph" w:customStyle="1" w:styleId="GBDatum">
    <w:name w:val="GB_Datum"/>
    <w:basedOn w:val="Standard"/>
    <w:link w:val="GBDatumZchn"/>
    <w:qFormat/>
    <w:rsid w:val="006A1199"/>
    <w:pPr>
      <w:spacing w:after="0"/>
    </w:pPr>
    <w:rPr>
      <w:sz w:val="17"/>
    </w:rPr>
  </w:style>
  <w:style w:type="character" w:customStyle="1" w:styleId="GBDatumZchn">
    <w:name w:val="GB_Datum Zchn"/>
    <w:basedOn w:val="Absatz-Standardschriftart"/>
    <w:link w:val="GBDatum"/>
    <w:rsid w:val="006A1199"/>
    <w:rPr>
      <w:rFonts w:ascii="Source Sans Pro" w:hAnsi="Source Sans Pro"/>
      <w:sz w:val="17"/>
    </w:rPr>
  </w:style>
  <w:style w:type="paragraph" w:customStyle="1" w:styleId="GBEinrichtung">
    <w:name w:val="GB_Einrichtung"/>
    <w:basedOn w:val="Standard"/>
    <w:next w:val="Standard"/>
    <w:link w:val="GBEinrichtungZchn"/>
    <w:qFormat/>
    <w:rsid w:val="00930C83"/>
    <w:pPr>
      <w:framePr w:w="2597" w:h="1049" w:hRule="exact" w:wrap="around" w:vAnchor="page" w:hAnchor="page" w:x="8960" w:y="1702" w:anchorLock="1"/>
      <w:suppressAutoHyphens/>
      <w:spacing w:after="0" w:line="240" w:lineRule="auto"/>
    </w:pPr>
    <w:rPr>
      <w:sz w:val="24"/>
    </w:rPr>
  </w:style>
  <w:style w:type="character" w:customStyle="1" w:styleId="GBEinrichtungZchn">
    <w:name w:val="GB_Einrichtung Zchn"/>
    <w:basedOn w:val="Absatz-Standardschriftart"/>
    <w:link w:val="GBEinrichtung"/>
    <w:rsid w:val="00930C83"/>
    <w:rPr>
      <w:rFonts w:ascii="Source Sans Pro" w:hAnsi="Source Sans Pro"/>
      <w:sz w:val="24"/>
    </w:rPr>
  </w:style>
  <w:style w:type="paragraph" w:customStyle="1" w:styleId="GBFliesstext">
    <w:name w:val="GB_Fliesstext"/>
    <w:basedOn w:val="Standard"/>
    <w:qFormat/>
    <w:rsid w:val="00D06F42"/>
    <w:pPr>
      <w:spacing w:after="80" w:line="290" w:lineRule="exact"/>
      <w:jc w:val="both"/>
    </w:pPr>
    <w:rPr>
      <w:w w:val="102"/>
    </w:rPr>
  </w:style>
  <w:style w:type="paragraph" w:customStyle="1" w:styleId="GBFusszeile-Bankverbindung">
    <w:name w:val="GB_Fusszeile-Bankverbindung"/>
    <w:basedOn w:val="Standard"/>
    <w:next w:val="Standard"/>
    <w:qFormat/>
    <w:rsid w:val="00E370E5"/>
    <w:pPr>
      <w:framePr w:w="3402" w:h="1247" w:hRule="exact" w:wrap="around" w:vAnchor="page" w:hAnchor="page" w:x="4452" w:y="15395" w:anchorLock="1"/>
      <w:spacing w:after="80" w:line="160" w:lineRule="exact"/>
    </w:pPr>
    <w:rPr>
      <w:w w:val="110"/>
      <w:sz w:val="13"/>
    </w:rPr>
  </w:style>
  <w:style w:type="paragraph" w:customStyle="1" w:styleId="GBFussZeile-Adresse">
    <w:name w:val="GB_FussZeile-Adresse"/>
    <w:basedOn w:val="Standard"/>
    <w:next w:val="Standard"/>
    <w:qFormat/>
    <w:rsid w:val="00BF4A72"/>
    <w:pPr>
      <w:framePr w:w="1633" w:h="981" w:hRule="exact" w:wrap="around" w:vAnchor="page" w:hAnchor="page" w:x="1447" w:y="15395" w:anchorLock="1"/>
      <w:spacing w:after="160" w:line="160" w:lineRule="exact"/>
    </w:pPr>
    <w:rPr>
      <w:w w:val="110"/>
      <w:sz w:val="13"/>
    </w:rPr>
  </w:style>
  <w:style w:type="paragraph" w:customStyle="1" w:styleId="GBFussZeile-Infoservice">
    <w:name w:val="GB_FussZeile-Infoservice"/>
    <w:basedOn w:val="Standard"/>
    <w:next w:val="Standard"/>
    <w:qFormat/>
    <w:rsid w:val="00E370E5"/>
    <w:pPr>
      <w:framePr w:w="1701" w:h="1043" w:hRule="exact" w:wrap="around" w:vAnchor="page" w:hAnchor="page" w:x="2921" w:y="15395" w:anchorLock="1"/>
      <w:spacing w:after="160" w:line="160" w:lineRule="exact"/>
    </w:pPr>
    <w:rPr>
      <w:w w:val="110"/>
      <w:sz w:val="13"/>
    </w:rPr>
  </w:style>
  <w:style w:type="paragraph" w:customStyle="1" w:styleId="GBReferat">
    <w:name w:val="GB_Referat"/>
    <w:basedOn w:val="Standard"/>
    <w:next w:val="Standard"/>
    <w:link w:val="GBReferatZchn"/>
    <w:qFormat/>
    <w:rsid w:val="00A512A9"/>
    <w:pPr>
      <w:framePr w:w="2398" w:h="1418" w:hRule="exact" w:wrap="around" w:vAnchor="page" w:hAnchor="page" w:x="8960" w:y="3902" w:anchorLock="1"/>
    </w:pPr>
    <w:rPr>
      <w:sz w:val="17"/>
    </w:rPr>
  </w:style>
  <w:style w:type="character" w:customStyle="1" w:styleId="GBReferatZchn">
    <w:name w:val="GB_Referat Zchn"/>
    <w:basedOn w:val="Absatz-Standardschriftart"/>
    <w:link w:val="GBReferat"/>
    <w:rsid w:val="00A512A9"/>
    <w:rPr>
      <w:rFonts w:ascii="Source Sans Pro" w:hAnsi="Source Sans Pro"/>
      <w:sz w:val="17"/>
    </w:rPr>
  </w:style>
  <w:style w:type="paragraph" w:customStyle="1" w:styleId="GBUnserZeichen">
    <w:name w:val="GB_UnserZeichen"/>
    <w:basedOn w:val="Standard"/>
    <w:next w:val="Standard"/>
    <w:qFormat/>
    <w:rsid w:val="00AD251F"/>
    <w:pPr>
      <w:framePr w:w="3005" w:h="11340" w:hRule="exact" w:hSpace="284" w:wrap="around" w:vAnchor="page" w:hAnchor="page" w:x="8790" w:y="2808" w:anchorLock="1"/>
      <w:spacing w:after="0"/>
    </w:pPr>
    <w:rPr>
      <w:sz w:val="13"/>
    </w:rPr>
  </w:style>
  <w:style w:type="paragraph" w:customStyle="1" w:styleId="GBVFGAdresse">
    <w:name w:val="GB_VFG_Adresse"/>
    <w:basedOn w:val="Standard"/>
    <w:next w:val="Standard"/>
    <w:qFormat/>
    <w:rsid w:val="006848FD"/>
    <w:pPr>
      <w:framePr w:w="198" w:h="454" w:hSpace="142" w:wrap="around" w:vAnchor="page" w:hAnchor="page" w:x="1078" w:y="3290" w:anchorLock="1"/>
    </w:pPr>
    <w:rPr>
      <w:color w:val="00B3FF"/>
    </w:rPr>
  </w:style>
  <w:style w:type="paragraph" w:customStyle="1" w:styleId="GBVFGText">
    <w:name w:val="GB_VFG_Text"/>
    <w:basedOn w:val="Standard"/>
    <w:qFormat/>
    <w:rsid w:val="006A1199"/>
    <w:pPr>
      <w:ind w:left="-567" w:right="2041"/>
    </w:pPr>
    <w:rPr>
      <w:vanish/>
      <w:color w:val="00B3FF"/>
    </w:rPr>
  </w:style>
  <w:style w:type="paragraph" w:customStyle="1" w:styleId="GBVFGTop">
    <w:name w:val="GB_VFG_Top"/>
    <w:basedOn w:val="Standard"/>
    <w:next w:val="Standard"/>
    <w:qFormat/>
    <w:rsid w:val="007145A3"/>
    <w:pPr>
      <w:framePr w:w="1332" w:h="1230" w:hSpace="142" w:wrap="around" w:vAnchor="page" w:hAnchor="page" w:x="1078" w:y="290" w:anchorLock="1"/>
    </w:pPr>
    <w:rPr>
      <w:color w:val="00B3FF"/>
      <w:sz w:val="28"/>
      <w:szCs w:val="28"/>
    </w:rPr>
  </w:style>
  <w:style w:type="paragraph" w:customStyle="1" w:styleId="GBRueckFragen">
    <w:name w:val="GB_RueckFragen"/>
    <w:basedOn w:val="Standard"/>
    <w:next w:val="Standard"/>
    <w:qFormat/>
    <w:rsid w:val="00D72BFC"/>
    <w:pPr>
      <w:framePr w:w="3005" w:h="11340" w:hRule="exact" w:hSpace="284" w:wrap="around" w:vAnchor="page" w:hAnchor="page" w:x="8790" w:y="2808" w:anchorLock="1"/>
      <w:spacing w:after="120"/>
    </w:pPr>
    <w:rPr>
      <w:sz w:val="13"/>
      <w:szCs w:val="13"/>
    </w:rPr>
  </w:style>
  <w:style w:type="character" w:styleId="Hyperlink">
    <w:name w:val="Hyperlink"/>
    <w:basedOn w:val="Absatz-Standardschriftart"/>
    <w:uiPriority w:val="99"/>
    <w:unhideWhenUsed/>
    <w:rsid w:val="009C5406"/>
    <w:rPr>
      <w:color w:val="0563C1" w:themeColor="hyperlink"/>
      <w:u w:val="single"/>
    </w:rPr>
  </w:style>
  <w:style w:type="character" w:customStyle="1" w:styleId="NichtaufgelsteErwhnung1">
    <w:name w:val="Nicht aufgelöste Erwähnung1"/>
    <w:basedOn w:val="Absatz-Standardschriftart"/>
    <w:uiPriority w:val="99"/>
    <w:semiHidden/>
    <w:unhideWhenUsed/>
    <w:rsid w:val="009C5406"/>
    <w:rPr>
      <w:color w:val="808080"/>
      <w:shd w:val="clear" w:color="auto" w:fill="E6E6E6"/>
    </w:rPr>
  </w:style>
  <w:style w:type="numbering" w:styleId="111111">
    <w:name w:val="Outline List 2"/>
    <w:basedOn w:val="KeineListe"/>
    <w:uiPriority w:val="99"/>
    <w:semiHidden/>
    <w:unhideWhenUsed/>
    <w:rsid w:val="00831B2C"/>
    <w:pPr>
      <w:numPr>
        <w:numId w:val="1"/>
      </w:numPr>
    </w:pPr>
  </w:style>
  <w:style w:type="character" w:customStyle="1" w:styleId="ekd8pt">
    <w:name w:val="ekd8pt"/>
    <w:basedOn w:val="Absatz-Standardschriftart"/>
    <w:uiPriority w:val="1"/>
    <w:rsid w:val="0011258C"/>
    <w:rPr>
      <w:rFonts w:ascii="Source Sans Pro" w:hAnsi="Source Sans Pro"/>
      <w:sz w:val="16"/>
    </w:rPr>
  </w:style>
  <w:style w:type="character" w:styleId="NichtaufgelsteErwhnung">
    <w:name w:val="Unresolved Mention"/>
    <w:basedOn w:val="Absatz-Standardschriftart"/>
    <w:uiPriority w:val="99"/>
    <w:semiHidden/>
    <w:unhideWhenUsed/>
    <w:rsid w:val="00E76733"/>
    <w:rPr>
      <w:color w:val="605E5C"/>
      <w:shd w:val="clear" w:color="auto" w:fill="E1DFDD"/>
    </w:rPr>
  </w:style>
  <w:style w:type="paragraph" w:styleId="Listenabsatz">
    <w:name w:val="List Paragraph"/>
    <w:basedOn w:val="Standard"/>
    <w:uiPriority w:val="34"/>
    <w:qFormat/>
    <w:rsid w:val="006D05C3"/>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2"/>
      <w:szCs w:val="20"/>
      <w:lang w:eastAsia="de-DE"/>
    </w:rPr>
  </w:style>
  <w:style w:type="paragraph" w:styleId="berarbeitung">
    <w:name w:val="Revision"/>
    <w:hidden/>
    <w:uiPriority w:val="99"/>
    <w:semiHidden/>
    <w:rsid w:val="001D707C"/>
    <w:pPr>
      <w:spacing w:after="0" w:line="240" w:lineRule="auto"/>
    </w:pPr>
    <w:rPr>
      <w:rFonts w:ascii="Source Sans Pro" w:hAnsi="Source Sans Pro"/>
      <w:sz w:val="23"/>
    </w:rPr>
  </w:style>
  <w:style w:type="character" w:styleId="Kommentarzeichen">
    <w:name w:val="annotation reference"/>
    <w:basedOn w:val="Absatz-Standardschriftart"/>
    <w:uiPriority w:val="99"/>
    <w:semiHidden/>
    <w:unhideWhenUsed/>
    <w:rsid w:val="001D707C"/>
    <w:rPr>
      <w:sz w:val="16"/>
      <w:szCs w:val="16"/>
    </w:rPr>
  </w:style>
  <w:style w:type="paragraph" w:styleId="Kommentartext">
    <w:name w:val="annotation text"/>
    <w:basedOn w:val="Standard"/>
    <w:link w:val="KommentartextZchn"/>
    <w:uiPriority w:val="99"/>
    <w:unhideWhenUsed/>
    <w:rsid w:val="001D707C"/>
    <w:pPr>
      <w:spacing w:line="240" w:lineRule="auto"/>
    </w:pPr>
    <w:rPr>
      <w:sz w:val="20"/>
      <w:szCs w:val="20"/>
    </w:rPr>
  </w:style>
  <w:style w:type="character" w:customStyle="1" w:styleId="KommentartextZchn">
    <w:name w:val="Kommentartext Zchn"/>
    <w:basedOn w:val="Absatz-Standardschriftart"/>
    <w:link w:val="Kommentartext"/>
    <w:uiPriority w:val="99"/>
    <w:rsid w:val="001D707C"/>
    <w:rPr>
      <w:rFonts w:ascii="Source Sans Pro" w:hAnsi="Source Sans Pro"/>
      <w:sz w:val="20"/>
      <w:szCs w:val="20"/>
    </w:rPr>
  </w:style>
  <w:style w:type="paragraph" w:styleId="Kommentarthema">
    <w:name w:val="annotation subject"/>
    <w:basedOn w:val="Kommentartext"/>
    <w:next w:val="Kommentartext"/>
    <w:link w:val="KommentarthemaZchn"/>
    <w:uiPriority w:val="99"/>
    <w:semiHidden/>
    <w:unhideWhenUsed/>
    <w:rsid w:val="001D707C"/>
    <w:rPr>
      <w:b/>
      <w:bCs/>
    </w:rPr>
  </w:style>
  <w:style w:type="character" w:customStyle="1" w:styleId="KommentarthemaZchn">
    <w:name w:val="Kommentarthema Zchn"/>
    <w:basedOn w:val="KommentartextZchn"/>
    <w:link w:val="Kommentarthema"/>
    <w:uiPriority w:val="99"/>
    <w:semiHidden/>
    <w:rsid w:val="001D707C"/>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lter\AppData\Roaming\EKD\Officevorlagen\Agvorlagen\Gesch&#228;ftsbrief\Gesch&#228;ftsbrie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A3EA-A95F-40DF-83CE-F6289E50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Geschäftsbrief</Template>
  <TotalTime>0</TotalTime>
  <Pages>3</Pages>
  <Words>928</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Nadine</dc:creator>
  <cp:keywords/>
  <dc:description/>
  <cp:lastModifiedBy>Pape, Anke</cp:lastModifiedBy>
  <cp:revision>2</cp:revision>
  <cp:lastPrinted>2023-04-03T07:34:00Z</cp:lastPrinted>
  <dcterms:created xsi:type="dcterms:W3CDTF">2023-11-21T09:45:00Z</dcterms:created>
  <dcterms:modified xsi:type="dcterms:W3CDTF">2023-11-21T09:45:00Z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_Aktuelle_Version">
    <vt:lpwstr>3.2.3</vt:lpwstr>
  </property>
  <property fmtid="{D5CDD505-2E9C-101B-9397-08002B2CF9AE}" pid="3" name="Ansprechpartner1">
    <vt:lpwstr>Detlev Fey</vt:lpwstr>
  </property>
</Properties>
</file>